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75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0"/>
      </w:tblGrid>
      <w:tr>
        <w:trPr>
          <w:trHeight w:val="340" w:hRule="atLeast"/>
        </w:trPr>
        <w:tc>
          <w:tcPr>
            <w:tcW w:w="2834" w:type="dxa"/>
            <w:tcBorders/>
            <w:shd w:color="auto" w:fill="auto" w:val="clear"/>
            <w:vAlign w:val="center"/>
          </w:tcPr>
          <w:p>
            <w:pPr>
              <w:pStyle w:val="ECVPersonalInfoHeading"/>
              <w:spacing w:before="57" w:after="0"/>
              <w:rPr/>
            </w:pPr>
            <w:r>
              <w:rPr/>
              <w:t>INFORMAZIONI PERSONALI</w:t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ECVNameField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Lucia Liguori </w:t>
            </w:r>
          </w:p>
        </w:tc>
      </w:tr>
      <w:tr>
        <w:trPr>
          <w:trHeight w:val="227" w:hRule="exact"/>
        </w:trPr>
        <w:tc>
          <w:tcPr>
            <w:tcW w:w="10374" w:type="dxa"/>
            <w:gridSpan w:val="2"/>
            <w:tcBorders/>
            <w:shd w:color="auto" w:fill="auto" w:val="clear"/>
          </w:tcPr>
          <w:p>
            <w:pPr>
              <w:pStyle w:val="ECVComments"/>
              <w:jc w:val="left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4" w:type="dxa"/>
            <w:vMerge w:val="restart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Normal"/>
              <w:tabs>
                <w:tab w:val="right" w:pos="8218" w:leader="none"/>
              </w:tabs>
              <w:rPr/>
            </w:pPr>
            <w:r>
              <w:rPr>
                <w:rStyle w:val="ECVContactDetails"/>
              </w:rPr>
              <w:t xml:space="preserve">    </w:t>
            </w:r>
            <w:r>
              <w:rPr>
                <w:rStyle w:val="ECVContactDetails"/>
              </w:rPr>
              <w:drawing>
                <wp:inline distT="0" distB="0" distL="0" distR="0">
                  <wp:extent cx="126365" cy="129540"/>
                  <wp:effectExtent l="0" t="0" r="0" b="0"/>
                  <wp:docPr id="1" name="graphics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s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9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pacing w:val="-6"/>
                <w:sz w:val="18"/>
                <w:szCs w:val="18"/>
              </w:rPr>
              <w:t xml:space="preserve"> </w:t>
            </w:r>
            <w:r>
              <w:rPr>
                <w:rStyle w:val="ECVContactDetails"/>
              </w:rPr>
              <w:t xml:space="preserve">    </w:t>
            </w:r>
            <w:r>
              <w:rPr>
                <w:rFonts w:ascii="Arial" w:hAnsi="Arial"/>
                <w:spacing w:val="-6"/>
                <w:sz w:val="18"/>
                <w:szCs w:val="18"/>
              </w:rPr>
              <w:t xml:space="preserve">   </w:t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Style w:val="ECVInternetLink"/>
                <w:lang w:val="it-IT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ECVHeadingContactDetails"/>
              </w:rPr>
              <w:t xml:space="preserve"> </w:t>
            </w:r>
            <w:r>
              <w:rPr>
                <w:rStyle w:val="ECVHeadingContactDetails"/>
              </w:rPr>
              <w:t>Sesso</w:t>
            </w:r>
            <w:r>
              <w:rPr/>
              <w:t xml:space="preserve"> </w:t>
            </w:r>
            <w:r>
              <w:rPr>
                <w:rStyle w:val="ECVContactDetails"/>
              </w:rPr>
              <w:t>F</w:t>
            </w:r>
          </w:p>
          <w:p>
            <w:pPr>
              <w:pStyle w:val="Normal"/>
              <w:rPr/>
            </w:pPr>
            <w:r>
              <w:rPr>
                <w:rStyle w:val="ECVHeadingContactDetails"/>
              </w:rPr>
              <w:t xml:space="preserve"> </w:t>
            </w:r>
            <w:r>
              <w:rPr>
                <w:rStyle w:val="ECVHeadingContactDetails"/>
              </w:rPr>
              <w:t>Data di nascita</w:t>
            </w:r>
            <w:r>
              <w:rPr/>
              <w:t xml:space="preserve"> </w:t>
            </w:r>
            <w:r>
              <w:rPr>
                <w:rStyle w:val="ECVContactDetails"/>
              </w:rPr>
              <w:t xml:space="preserve">09/05/1982 </w:t>
            </w:r>
          </w:p>
          <w:p>
            <w:pPr>
              <w:pStyle w:val="Normal"/>
              <w:rPr/>
            </w:pPr>
            <w:r>
              <w:rPr>
                <w:rStyle w:val="ECVHeadingContactDetails"/>
              </w:rPr>
              <w:t xml:space="preserve"> </w:t>
            </w:r>
            <w:r>
              <w:rPr>
                <w:rStyle w:val="ECVHeadingContactDetails"/>
              </w:rPr>
              <w:t>Nazionalità</w:t>
            </w:r>
            <w:r>
              <w:rPr/>
              <w:t xml:space="preserve"> </w:t>
            </w:r>
            <w:r>
              <w:rPr>
                <w:rStyle w:val="ECVContactDetails"/>
              </w:rPr>
              <w:t>Italiana</w:t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ECVGenderRow"/>
              <w:spacing w:before="85" w:after="0"/>
              <w:rPr/>
            </w:pPr>
            <w:r>
              <w:rPr/>
            </w:r>
          </w:p>
        </w:tc>
      </w:tr>
    </w:tbl>
    <w:p>
      <w:pPr>
        <w:pStyle w:val="ECVText"/>
        <w:rPr/>
      </w:pPr>
      <w:r>
        <w:rPr/>
      </w:r>
    </w:p>
    <w:tbl>
      <w:tblPr>
        <w:tblW w:w="10375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0"/>
      </w:tblGrid>
      <w:tr>
        <w:trPr>
          <w:trHeight w:val="340" w:hRule="atLeast"/>
        </w:trPr>
        <w:tc>
          <w:tcPr>
            <w:tcW w:w="2834" w:type="dxa"/>
            <w:tcBorders/>
            <w:shd w:color="auto" w:fill="auto" w:val="clear"/>
            <w:vAlign w:val="center"/>
          </w:tcPr>
          <w:p>
            <w:pPr>
              <w:pStyle w:val="ECVLeftHeading"/>
              <w:jc w:val="left"/>
              <w:rPr/>
            </w:pPr>
            <w:r>
              <w:rPr/>
              <w:t>occupaZIONE PER LA QUALE SI CONCORRE</w:t>
            </w:r>
          </w:p>
          <w:p>
            <w:pPr>
              <w:pStyle w:val="ECVLeftHeading"/>
              <w:rPr/>
            </w:pPr>
            <w:r>
              <w:rPr/>
            </w:r>
          </w:p>
          <w:p>
            <w:pPr>
              <w:pStyle w:val="ECVLeftHeading"/>
              <w:rPr/>
            </w:pPr>
            <w:r>
              <w:rPr/>
              <w:t>TITOLO DI STUDIO</w:t>
            </w:r>
          </w:p>
          <w:p>
            <w:pPr>
              <w:pStyle w:val="ECVLeftHeading"/>
              <w:rPr/>
            </w:pPr>
            <w:r>
              <w:rPr/>
            </w:r>
          </w:p>
          <w:p>
            <w:pPr>
              <w:pStyle w:val="ECVLeftHeading"/>
              <w:rPr/>
            </w:pPr>
            <w:r>
              <w:rPr/>
              <w:t>DICHIARAZIONI PERSONALI</w:t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ECVNameField"/>
              <w:rPr>
                <w:rFonts w:ascii="Tahoma" w:hAnsi="Tahoma" w:cs="Tahoma"/>
                <w:color w:val="006796"/>
                <w:sz w:val="21"/>
                <w:szCs w:val="21"/>
                <w:shd w:fill="FFFFFF" w:val="clear"/>
              </w:rPr>
            </w:pPr>
            <w:r>
              <w:rPr>
                <w:rFonts w:cs="Tahoma" w:ascii="Tahoma" w:hAnsi="Tahoma"/>
                <w:color w:val="006796"/>
                <w:sz w:val="21"/>
                <w:szCs w:val="21"/>
                <w:shd w:fill="FFFFFF" w:val="clear"/>
              </w:rPr>
            </w:r>
          </w:p>
          <w:p>
            <w:pPr>
              <w:pStyle w:val="ECVNameField"/>
              <w:jc w:val="both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pStyle w:val="ECVNameField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pStyle w:val="ECVNameFiel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ECVNameFiel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Laureato in Scienze Biologiche con Specializzazione in Genetica Medica iscritto all’albo nazionale dei biologi</w:t>
            </w:r>
          </w:p>
          <w:p>
            <w:pPr>
              <w:pStyle w:val="ECVNameFiel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</w:tbl>
    <w:p>
      <w:pPr>
        <w:pStyle w:val="ECVText"/>
        <w:rPr/>
      </w:pPr>
      <w:r>
        <w:rPr/>
      </w:r>
    </w:p>
    <w:p>
      <w:pPr>
        <w:pStyle w:val="ECVText"/>
        <w:rPr/>
      </w:pPr>
      <w:r>
        <w:rPr/>
      </w:r>
    </w:p>
    <w:p>
      <w:pPr>
        <w:pStyle w:val="ECVText"/>
        <w:rPr/>
      </w:pPr>
      <w:r>
        <w:rPr/>
      </w:r>
    </w:p>
    <w:p>
      <w:pPr>
        <w:pStyle w:val="ECVText"/>
        <w:rPr/>
      </w:pPr>
      <w:r>
        <w:rPr/>
      </w:r>
    </w:p>
    <w:p>
      <w:pPr>
        <w:pStyle w:val="ECVText"/>
        <w:rPr/>
      </w:pPr>
      <w:r>
        <w:rPr/>
      </w:r>
    </w:p>
    <w:tbl>
      <w:tblPr>
        <w:tblW w:w="10375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  <w:t>ESPERIENZA PROFESSIONALE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90170"/>
                  <wp:effectExtent l="0" t="0" r="0" b="0"/>
                  <wp:docPr id="2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ECVComments"/>
        <w:rPr/>
      </w:pPr>
      <w:r>
        <w:rPr/>
      </w:r>
    </w:p>
    <w:tbl>
      <w:tblPr>
        <w:tblW w:w="10375" w:type="dxa"/>
        <w:jc w:val="left"/>
        <w:tblInd w:w="-1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0"/>
      </w:tblGrid>
      <w:tr>
        <w:trPr/>
        <w:tc>
          <w:tcPr>
            <w:tcW w:w="2834" w:type="dxa"/>
            <w:vMerge w:val="restart"/>
            <w:tcBorders/>
            <w:shd w:color="auto" w:fill="auto" w:val="clear"/>
          </w:tcPr>
          <w:p>
            <w:pPr>
              <w:pStyle w:val="ECVDate"/>
              <w:spacing w:before="28" w:after="0"/>
              <w:textAlignment w:val="top"/>
              <w:rPr/>
            </w:pPr>
            <w:r>
              <w:rPr/>
              <w:t>Sostituire con date (da - a)</w:t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SubSectionHeading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pStyle w:val="ECVSubSectionHeading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Settembre 2015  al 31  Gennaio  2016</w:t>
            </w:r>
          </w:p>
          <w:p>
            <w:pPr>
              <w:pStyle w:val="ECVSubSectionHeading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pStyle w:val="ECVSubSectionHeading"/>
              <w:rPr>
                <w:b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Biologo Ricercatore (Borsa annuale PON_DIAINTECH)</w:t>
            </w:r>
          </w:p>
          <w:p>
            <w:pPr>
              <w:pStyle w:val="ECVSubSectionHead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OrganisationDetails"/>
              <w:spacing w:before="57" w:after="8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Istituto Nazionale Tumori IRCCS-Fondazione Pascale, Napoli</w:t>
            </w:r>
          </w:p>
        </w:tc>
      </w:tr>
      <w:tr>
        <w:trPr/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SectionBullet"/>
              <w:rPr/>
            </w:pPr>
            <w:r>
              <w:rPr>
                <w:sz w:val="20"/>
                <w:szCs w:val="20"/>
              </w:rPr>
              <w:t xml:space="preserve">Ricerca clinica nell’ambito del progetto: Processi innovativi per la diagnostica molecolare integrata di malattie genetiche” – DIAINTECH” presso il laboratorio del Prof. G. Chiappetta (email: </w:t>
            </w:r>
            <w:hyperlink r:id="rId4">
              <w:r>
                <w:rPr>
                  <w:rStyle w:val="CollegamentoInternet"/>
                  <w:sz w:val="20"/>
                  <w:szCs w:val="20"/>
                </w:rPr>
                <w:t>g.chiappetta@istitutotumori.na.it</w:t>
              </w:r>
            </w:hyperlink>
            <w:r>
              <w:rPr>
                <w:sz w:val="20"/>
                <w:szCs w:val="20"/>
              </w:rPr>
              <w:t>)</w:t>
            </w:r>
          </w:p>
          <w:p>
            <w:pPr>
              <w:pStyle w:val="ECVSectionBullet"/>
              <w:ind w:left="113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  <w:vAlign w:val="bottom"/>
          </w:tcPr>
          <w:p>
            <w:pPr>
              <w:pStyle w:val="ECVBusinessSectorRow"/>
              <w:rPr/>
            </w:pPr>
            <w:r>
              <w:rPr>
                <w:rStyle w:val="ECVHeadingBusinessSector"/>
                <w:color w:val="000000"/>
                <w:sz w:val="20"/>
                <w:szCs w:val="20"/>
              </w:rPr>
              <w:t xml:space="preserve">Attività o settore: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Style w:val="ECVContactDetails"/>
                <w:sz w:val="20"/>
                <w:szCs w:val="20"/>
              </w:rPr>
              <w:t xml:space="preserve">Ricerca Clinica </w:t>
            </w:r>
          </w:p>
          <w:p>
            <w:pPr>
              <w:pStyle w:val="ECVBusinessSectorRow"/>
              <w:rPr/>
            </w:pPr>
            <w:r>
              <w:rPr/>
            </w:r>
          </w:p>
          <w:p>
            <w:pPr>
              <w:pStyle w:val="ECVBusinessSectorRow"/>
              <w:rPr/>
            </w:pPr>
            <w:r>
              <w:rPr>
                <w:rStyle w:val="ECVContactDetails"/>
                <w:b/>
                <w:color w:val="000000"/>
                <w:sz w:val="20"/>
                <w:szCs w:val="20"/>
                <w:u w:val="single"/>
              </w:rPr>
              <w:t>02 Dicembre 2013 al 30 Giugno 2015</w:t>
            </w:r>
          </w:p>
          <w:p>
            <w:pPr>
              <w:pStyle w:val="ECVBusinessSectorRow"/>
              <w:rPr/>
            </w:pPr>
            <w:r>
              <w:rPr/>
            </w:r>
          </w:p>
          <w:p>
            <w:pPr>
              <w:pStyle w:val="ECVBusinessSectorRow"/>
              <w:jc w:val="both"/>
              <w:rPr/>
            </w:pPr>
            <w:r>
              <w:rPr>
                <w:rStyle w:val="ECVContactDetails"/>
                <w:color w:val="000000"/>
                <w:sz w:val="20"/>
                <w:szCs w:val="20"/>
              </w:rPr>
              <w:t>Dipartimento di Scienze ambientali, biologiche, farmaceutiche e tecnologiche della Seconda Università di Napoli (Via Vivaldi 43, 81100 Caserta) in collaborazione con Azienda farmaceutica Advanced Accelerator Applications (via Ribes 5-10010-Colleretto Giacosa(TO)-Italia) presso il laboratorio della Dr. Valeria Muzio</w:t>
            </w:r>
          </w:p>
          <w:p>
            <w:pPr>
              <w:pStyle w:val="ECVBusinessSectorRow"/>
              <w:rPr/>
            </w:pPr>
            <w:r>
              <w:rPr/>
            </w:r>
          </w:p>
          <w:p>
            <w:pPr>
              <w:pStyle w:val="ECVBusinessSectorRow"/>
              <w:rPr/>
            </w:pPr>
            <w:r>
              <w:rPr>
                <w:rStyle w:val="ECVContactDetails"/>
                <w:b/>
                <w:color w:val="000000"/>
                <w:sz w:val="20"/>
                <w:szCs w:val="20"/>
                <w:u w:val="single"/>
              </w:rPr>
              <w:t>Biologo Ricercatore (Borsa annuale progetto PON_0102388)</w:t>
            </w:r>
          </w:p>
          <w:p>
            <w:pPr>
              <w:pStyle w:val="ECVBusinessSectorRow"/>
              <w:rPr/>
            </w:pPr>
            <w:r>
              <w:rPr/>
            </w:r>
          </w:p>
          <w:p>
            <w:pPr>
              <w:pStyle w:val="ECVBusinessSectorRow"/>
              <w:rPr/>
            </w:pPr>
            <w:r>
              <w:rPr>
                <w:color w:val="000000"/>
                <w:sz w:val="20"/>
                <w:szCs w:val="20"/>
              </w:rPr>
              <w:t>Eseguire studi di caratterizzazione di nanoparticelle lipidiche per la veicolazione di miRNAs in sistemi tumorali</w:t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Attivita’ e settore: Ricerca e sviluppo </w:t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/>
            </w:pPr>
            <w:r>
              <w:rPr>
                <w:b/>
                <w:sz w:val="20"/>
                <w:szCs w:val="20"/>
                <w:u w:val="single"/>
              </w:rPr>
              <w:t>30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Novembre 2012 al 30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Novembre 2013</w:t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BusinessSectorRow"/>
              <w:jc w:val="both"/>
              <w:rPr/>
            </w:pPr>
            <w:r>
              <w:rPr>
                <w:sz w:val="20"/>
                <w:szCs w:val="20"/>
                <w:u w:val="single"/>
              </w:rPr>
              <w:t>CEINGE-Biotecnologie Avanzate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u w:val="single"/>
              </w:rPr>
              <w:t>Università di Napoli “Federico II</w:t>
            </w:r>
            <w:r>
              <w:rPr>
                <w:sz w:val="20"/>
                <w:szCs w:val="20"/>
              </w:rPr>
              <w:t xml:space="preserve">” ( via Gaetano Salvatore- Napoli) in collaborazione con Azienda farmaceutica </w:t>
            </w:r>
            <w:r>
              <w:rPr>
                <w:sz w:val="20"/>
                <w:szCs w:val="20"/>
                <w:u w:val="single"/>
              </w:rPr>
              <w:t>Procelltech-</w:t>
            </w:r>
            <w:r>
              <w:rPr>
                <w:sz w:val="20"/>
                <w:szCs w:val="20"/>
              </w:rPr>
              <w:t xml:space="preserve"> (via Ribes 5-10010-Colleretto Giacosa(TO)-Italia) presso il laboratorio del Prof. Massimo Zollo in collaborazione con la Dr. Vittoria Ardissone</w:t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Biologo Ricercatore (Borsa annuale progetto PON_ProMeTEO)</w:t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 iniziali di caratterizzazione di “Dental Pulp Stem Cell” per  produzione GMP </w:t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Attivita’ e settore: Ricerca e sviluppo </w:t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01 Marzo 2008 al 29 Novembre 2012</w:t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BusinessSectorRow"/>
              <w:rPr/>
            </w:pPr>
            <w:r>
              <w:rPr>
                <w:sz w:val="20"/>
                <w:szCs w:val="20"/>
                <w:u w:val="single"/>
              </w:rPr>
              <w:t>CEINGE-Biotecnologie Avanzate</w:t>
            </w:r>
            <w:r>
              <w:rPr>
                <w:sz w:val="20"/>
                <w:szCs w:val="20"/>
              </w:rPr>
              <w:t>, via Gaetano Salvatore-Napoli il laboratorio del Prof. Massimo Zollo</w:t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/>
            </w:pPr>
            <w:r>
              <w:rPr>
                <w:b/>
                <w:sz w:val="20"/>
                <w:szCs w:val="20"/>
                <w:u w:val="single"/>
              </w:rPr>
              <w:t xml:space="preserve">Biologo Ricercatore e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Specializzanda in Genetica Medica</w:t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BusinessSectorRow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Ricerca oncologica per lo studio del ruolo dei miRNas durante la tumorigenesi. </w:t>
            </w:r>
          </w:p>
          <w:p>
            <w:pPr>
              <w:pStyle w:val="ECVBusinessSectorRow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Partecipazione a diversi progetti scientifici con relative borse di studio e contratti di collaborazione: </w:t>
            </w:r>
          </w:p>
          <w:p>
            <w:pPr>
              <w:pStyle w:val="ECVBusinessSectorRow"/>
              <w:numPr>
                <w:ilvl w:val="0"/>
                <w:numId w:val="2"/>
              </w:numPr>
              <w:rPr>
                <w:sz w:val="20"/>
                <w:szCs w:val="20"/>
                <w:u w:val="single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“</w:t>
            </w:r>
            <w:r>
              <w:rPr>
                <w:sz w:val="20"/>
                <w:szCs w:val="20"/>
                <w:u w:val="single"/>
                <w:lang w:val="en-US"/>
              </w:rPr>
              <w:t xml:space="preserve">European Embryonal Tumor Pipeline”; </w:t>
            </w:r>
          </w:p>
          <w:p>
            <w:pPr>
              <w:pStyle w:val="ECVBusinessSectorRow"/>
              <w:numPr>
                <w:ilvl w:val="0"/>
                <w:numId w:val="2"/>
              </w:numPr>
              <w:rPr>
                <w:sz w:val="20"/>
                <w:szCs w:val="20"/>
                <w:u w:val="single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“</w:t>
            </w:r>
            <w:r>
              <w:rPr>
                <w:sz w:val="20"/>
                <w:szCs w:val="20"/>
                <w:u w:val="single"/>
                <w:lang w:val="en-US"/>
              </w:rPr>
              <w:t>Rule of MPPED2 gene in Neuroblastoma”;</w:t>
            </w:r>
          </w:p>
          <w:p>
            <w:pPr>
              <w:pStyle w:val="ECVBusinessSectorRow"/>
              <w:numPr>
                <w:ilvl w:val="0"/>
                <w:numId w:val="2"/>
              </w:numPr>
              <w:rPr>
                <w:sz w:val="20"/>
                <w:szCs w:val="20"/>
                <w:u w:val="single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 xml:space="preserve"> “</w:t>
            </w:r>
            <w:r>
              <w:rPr>
                <w:sz w:val="20"/>
                <w:szCs w:val="20"/>
                <w:u w:val="single"/>
                <w:lang w:val="en-US"/>
              </w:rPr>
              <w:t>EU FP7 TUMIC-An integrated concept of tumor metastasis: implications for therapy”</w:t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  <w:u w:val="single"/>
                <w:lang w:val="en-US"/>
              </w:rPr>
            </w:pPr>
            <w:r>
              <w:rPr>
                <w:b/>
                <w:sz w:val="20"/>
                <w:szCs w:val="20"/>
                <w:u w:val="single"/>
                <w:lang w:val="en-US"/>
              </w:rPr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Attivita’ e settore: Ricerca oncologica e molecolare</w:t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/>
            </w:pPr>
            <w:r>
              <w:rPr>
                <w:b/>
                <w:sz w:val="20"/>
                <w:szCs w:val="20"/>
                <w:u w:val="single"/>
              </w:rPr>
              <w:t xml:space="preserve">Luglio 2006 a Febbraio  2008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Dipartimento di Medicina Sperimentale della Università degli studi della Campania Luigi Vanvitelli presso il laboratorio del Prof. Sergio Minucci</w:t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Tesista e Tirocinante   post-laurea</w:t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Ricerca nell’ambito della biologia molecolare</w:t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ECVBusinessSectorRow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BusinessSectorRo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ECVText"/>
        <w:rPr/>
      </w:pPr>
      <w:r>
        <w:rPr/>
      </w:r>
    </w:p>
    <w:tbl>
      <w:tblPr>
        <w:tblW w:w="10375" w:type="dxa"/>
        <w:jc w:val="righ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  <w:t>ISTRUZIONE E FORMAZIONE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90170"/>
                  <wp:effectExtent l="0" t="0" r="0" b="0"/>
                  <wp:docPr id="3" name="graphics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ECVComments"/>
        <w:jc w:val="left"/>
        <w:rPr/>
      </w:pPr>
      <w:r>
        <w:rPr/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3"/>
        <w:gridCol w:w="6237"/>
        <w:gridCol w:w="1306"/>
      </w:tblGrid>
      <w:tr>
        <w:trPr/>
        <w:tc>
          <w:tcPr>
            <w:tcW w:w="2833" w:type="dxa"/>
            <w:vMerge w:val="restart"/>
            <w:tcBorders/>
            <w:shd w:color="auto" w:fill="auto" w:val="clear"/>
          </w:tcPr>
          <w:p>
            <w:pPr>
              <w:pStyle w:val="ECVDate"/>
              <w:spacing w:before="28" w:after="0"/>
              <w:textAlignment w:val="top"/>
              <w:rPr/>
            </w:pPr>
            <w:r>
              <w:rPr/>
              <w:t>Sostituire con date (da - a)</w:t>
            </w:r>
          </w:p>
        </w:tc>
        <w:tc>
          <w:tcPr>
            <w:tcW w:w="6237" w:type="dxa"/>
            <w:tcBorders/>
            <w:shd w:color="auto" w:fill="auto" w:val="clear"/>
          </w:tcPr>
          <w:p>
            <w:pPr>
              <w:pStyle w:val="ECVSubSectionHeading"/>
              <w:rPr/>
            </w:pP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13 Settembre 2012 </w:t>
            </w:r>
            <w:r>
              <w:rPr>
                <w:color w:val="000000"/>
                <w:sz w:val="20"/>
                <w:szCs w:val="20"/>
                <w:u w:val="single"/>
              </w:rPr>
              <w:t>Specialista in Genetica Medica</w:t>
            </w:r>
          </w:p>
          <w:p>
            <w:pPr>
              <w:pStyle w:val="ECVSubSectionHeading"/>
              <w:rPr>
                <w:b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 xml:space="preserve">Specializzazione in Genetica Medica (Indirizzo Tecnico M02 corso di 5 anni post-laurea) </w:t>
            </w:r>
          </w:p>
          <w:p>
            <w:pPr>
              <w:pStyle w:val="ECVSubSectionHeading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Dipartimento di Medicina e Chirurgia, Università di Napoli Federico II”</w:t>
            </w:r>
          </w:p>
          <w:p>
            <w:pPr>
              <w:pStyle w:val="ECVSubSectionHeading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06" w:type="dxa"/>
            <w:tcBorders/>
            <w:shd w:color="auto" w:fill="auto" w:val="clear"/>
          </w:tcPr>
          <w:p>
            <w:pPr>
              <w:pStyle w:val="ECVRightHeading"/>
              <w:spacing w:before="62" w:after="0"/>
              <w:jc w:val="right"/>
              <w:rPr/>
            </w:pPr>
            <w:r>
              <w:rPr/>
              <w:t>Sostituire con il livello QEQ o altro, se conosciuto</w:t>
            </w:r>
          </w:p>
        </w:tc>
      </w:tr>
      <w:tr>
        <w:trPr/>
        <w:tc>
          <w:tcPr>
            <w:tcW w:w="2833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3" w:type="dxa"/>
            <w:gridSpan w:val="2"/>
            <w:tcBorders/>
            <w:shd w:color="auto" w:fill="auto" w:val="clear"/>
          </w:tcPr>
          <w:p>
            <w:pPr>
              <w:pStyle w:val="ECVOrganisationDetails"/>
              <w:spacing w:before="57" w:after="85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Titolo tesi: </w:t>
            </w:r>
            <w:r>
              <w:rPr>
                <w:sz w:val="20"/>
                <w:szCs w:val="20"/>
                <w:lang w:val="en-GB"/>
              </w:rPr>
              <w:t>MPPED2 gene abrogates its anti-tumorigenic activity in neuroblastoma pediatric tumor through a loss of function mutation (H67R)</w:t>
            </w:r>
          </w:p>
          <w:p>
            <w:pPr>
              <w:pStyle w:val="ECVOrganisationDetail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</w:r>
          </w:p>
          <w:p>
            <w:pPr>
              <w:pStyle w:val="ECVOrganisationDetails"/>
              <w:rPr/>
            </w:pPr>
            <w:r>
              <w:rPr>
                <w:b/>
                <w:sz w:val="20"/>
                <w:szCs w:val="20"/>
                <w:u w:val="single"/>
              </w:rPr>
              <w:t>8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 xml:space="preserve">Febbraio 2008 </w:t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Esame di stato con Qualificazione come Biologo Senior (iscritta alla sez. A dell’Albo dei Biologi con numero AA_077431)</w:t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OrganisationDetails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Dipartimento di Medicina e Chirurgia, Università di Napoli “Federico II”</w:t>
            </w:r>
          </w:p>
          <w:p>
            <w:pPr>
              <w:pStyle w:val="ECVOrganisationDetails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</w:r>
          </w:p>
          <w:p>
            <w:pPr>
              <w:pStyle w:val="ECVOrganisationDetails"/>
              <w:rPr/>
            </w:pPr>
            <w:r>
              <w:rPr>
                <w:b/>
                <w:sz w:val="20"/>
                <w:szCs w:val="20"/>
                <w:u w:val="single"/>
              </w:rPr>
              <w:t>25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Ottobre 2007</w:t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Laurea Specialistica in Biologia indirizzo Fisiopatologico (voto 110/110 cum lode)</w:t>
            </w:r>
          </w:p>
          <w:p>
            <w:pPr>
              <w:pStyle w:val="ECVOrganisationDetails"/>
              <w:rPr/>
            </w:pPr>
            <w:r>
              <w:rPr>
                <w:sz w:val="20"/>
                <w:szCs w:val="20"/>
              </w:rPr>
              <w:t xml:space="preserve">Titolo Tesi: </w:t>
            </w:r>
            <w:r>
              <w:rPr>
                <w:bCs/>
                <w:sz w:val="20"/>
                <w:szCs w:val="20"/>
              </w:rPr>
              <w:t xml:space="preserve">STUDIO DELL’ESPRESSIONE DELLA </w:t>
            </w:r>
            <w:r>
              <w:rPr>
                <w:bCs/>
                <w:iCs/>
                <w:sz w:val="20"/>
                <w:szCs w:val="20"/>
              </w:rPr>
              <w:t>PROT-α</w:t>
            </w:r>
            <w:r>
              <w:rPr>
                <w:bCs/>
                <w:sz w:val="20"/>
                <w:szCs w:val="20"/>
              </w:rPr>
              <w:t xml:space="preserve"> NEL TESTICOLO DI VERTEBRATI: EVIDENZE SPERIMENTALI NELLA SPERMATOGENESI presso il  </w:t>
            </w:r>
            <w:r>
              <w:rPr>
                <w:bCs/>
                <w:i/>
                <w:sz w:val="20"/>
                <w:szCs w:val="20"/>
              </w:rPr>
              <w:t>Laboratorio Medicina Sperimentale prof. Sergio Minucci</w:t>
            </w:r>
          </w:p>
          <w:p>
            <w:pPr>
              <w:pStyle w:val="ECVOrganisationDetail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OrganisationDetail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Facoltà di Scienze Matematiche, Fisiche e Naturali, Università degli studi di Napoli “Federico II”</w:t>
            </w:r>
          </w:p>
          <w:p>
            <w:pPr>
              <w:pStyle w:val="ECVOrganisationDetail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24 Novembre 2005</w:t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OrganisationDetails"/>
              <w:rPr>
                <w:b/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Laurea Triennale in Scienze Biologiche, 12  classe delle lauree in Scienze Biologichecon voto 110/110 e lode</w:t>
            </w:r>
          </w:p>
          <w:p>
            <w:pPr>
              <w:pStyle w:val="ECVOrganisationDetails"/>
              <w:rPr/>
            </w:pPr>
            <w:r>
              <w:rPr>
                <w:bCs/>
                <w:sz w:val="20"/>
                <w:szCs w:val="20"/>
              </w:rPr>
              <w:t>Titolo tesi: “Espressione della Green Fluorescent Protein (GFP) in cellule di carcinoma della cervice uterina (Hela)”</w:t>
            </w:r>
            <w:r>
              <w:rPr>
                <w:bCs/>
                <w:i/>
                <w:sz w:val="20"/>
                <w:szCs w:val="20"/>
              </w:rPr>
              <w:t>Laboratorio di Patologia Generale prof. Paolo Laccetti</w:t>
            </w:r>
          </w:p>
          <w:p>
            <w:pPr>
              <w:pStyle w:val="ECVOrganisationDetail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OrganisationDetail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Facoltà di Scienze Matematiche, Fisiche e Naturali, Università degli studi di Napoli “Federico II” -Patologia Generale </w:t>
            </w:r>
          </w:p>
          <w:p>
            <w:pPr>
              <w:pStyle w:val="ECVOrganisationDetail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OrganisationDetail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13 Luglio 2001</w:t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Maturità Classica  (voto 100/100)</w:t>
            </w:r>
          </w:p>
          <w:p>
            <w:pPr>
              <w:pStyle w:val="ECVOrganisationDetail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Liceo classico “T.Tasso”</w:t>
            </w:r>
          </w:p>
          <w:p>
            <w:pPr>
              <w:pStyle w:val="ECVOrganisationDetails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</w:r>
          </w:p>
          <w:p>
            <w:pPr>
              <w:pStyle w:val="ECVOrganisationDetails"/>
              <w:spacing w:before="57" w:after="85"/>
              <w:rPr/>
            </w:pPr>
            <w:r>
              <w:rPr/>
            </w:r>
          </w:p>
        </w:tc>
      </w:tr>
      <w:tr>
        <w:trPr/>
        <w:tc>
          <w:tcPr>
            <w:tcW w:w="2833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3" w:type="dxa"/>
            <w:gridSpan w:val="2"/>
            <w:tcBorders/>
            <w:shd w:color="auto" w:fill="auto" w:val="clear"/>
          </w:tcPr>
          <w:p>
            <w:pPr>
              <w:pStyle w:val="ECVSectionBullet"/>
              <w:rPr/>
            </w:pPr>
            <w:r>
              <w:rPr/>
            </w:r>
          </w:p>
        </w:tc>
      </w:tr>
    </w:tbl>
    <w:p>
      <w:pPr>
        <w:pStyle w:val="ECVText"/>
        <w:rPr/>
      </w:pPr>
      <w:r>
        <w:rPr/>
      </w:r>
    </w:p>
    <w:tbl>
      <w:tblPr>
        <w:tblW w:w="10375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  <w:t>COMPETENZE PERSONALI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90170"/>
                  <wp:effectExtent l="0" t="0" r="0" b="0"/>
                  <wp:docPr id="4" name="graphics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ECVComments"/>
        <w:rPr/>
      </w:pPr>
      <w:r>
        <w:rPr/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1544"/>
        <w:gridCol w:w="1497"/>
        <w:gridCol w:w="1"/>
        <w:gridCol w:w="1501"/>
        <w:gridCol w:w="1498"/>
        <w:gridCol w:w="2"/>
        <w:gridCol w:w="1498"/>
      </w:tblGrid>
      <w:tr>
        <w:trPr>
          <w:trHeight w:val="255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Lingua madre</w:t>
            </w:r>
          </w:p>
        </w:tc>
        <w:tc>
          <w:tcPr>
            <w:tcW w:w="7541" w:type="dxa"/>
            <w:gridSpan w:val="7"/>
            <w:tcBorders/>
            <w:shd w:color="auto" w:fill="auto" w:val="clear"/>
          </w:tcPr>
          <w:p>
            <w:pPr>
              <w:pStyle w:val="ECVSectionDetails"/>
              <w:suppressLineNumbers/>
              <w:spacing w:before="28" w:after="0"/>
              <w:rPr/>
            </w:pPr>
            <w:r>
              <w:rPr>
                <w:color w:val="000000"/>
              </w:rPr>
              <w:t>Italliano</w:t>
            </w:r>
          </w:p>
        </w:tc>
      </w:tr>
      <w:tr>
        <w:trPr>
          <w:trHeight w:val="340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</w:r>
          </w:p>
        </w:tc>
        <w:tc>
          <w:tcPr>
            <w:tcW w:w="7541" w:type="dxa"/>
            <w:gridSpan w:val="7"/>
            <w:tcBorders/>
            <w:shd w:color="auto" w:fill="auto" w:val="clear"/>
          </w:tcPr>
          <w:p>
            <w:pPr>
              <w:pStyle w:val="ECVRightColumn"/>
              <w:spacing w:before="62" w:after="0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4" w:type="dxa"/>
            <w:vMerge w:val="restart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Altre lingue</w:t>
            </w:r>
          </w:p>
          <w:p>
            <w:pPr>
              <w:pStyle w:val="ECVLeftDetails"/>
              <w:rPr/>
            </w:pPr>
            <w:r>
              <w:rPr/>
            </w:r>
          </w:p>
          <w:p>
            <w:pPr>
              <w:pStyle w:val="ECVLeftDetails"/>
              <w:rPr/>
            </w:pPr>
            <w:r>
              <w:rPr/>
            </w:r>
          </w:p>
        </w:tc>
        <w:tc>
          <w:tcPr>
            <w:tcW w:w="3041" w:type="dxa"/>
            <w:gridSpan w:val="2"/>
            <w:tcBorders>
              <w:top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vAlign w:val="center"/>
          </w:tcPr>
          <w:p>
            <w:pPr>
              <w:pStyle w:val="ECVLanguageHeading"/>
              <w:rPr/>
            </w:pPr>
            <w:r>
              <w:rPr/>
              <w:t>COMPRENSIONE</w:t>
            </w:r>
          </w:p>
        </w:tc>
        <w:tc>
          <w:tcPr>
            <w:tcW w:w="3000" w:type="dxa"/>
            <w:gridSpan w:val="3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Heading"/>
              <w:rPr/>
            </w:pPr>
            <w:r>
              <w:rPr/>
              <w:t>PARLATO</w:t>
            </w:r>
          </w:p>
        </w:tc>
        <w:tc>
          <w:tcPr>
            <w:tcW w:w="1500" w:type="dxa"/>
            <w:gridSpan w:val="2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Heading"/>
              <w:rPr/>
            </w:pPr>
            <w:r>
              <w:rPr/>
              <w:t>PRODUZIONE SCRITTA</w:t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44" w:type="dxa"/>
            <w:tcBorders>
              <w:top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vAlign w:val="center"/>
          </w:tcPr>
          <w:p>
            <w:pPr>
              <w:pStyle w:val="ECVLanguageSubHeading"/>
              <w:rPr/>
            </w:pPr>
            <w:r>
              <w:rPr/>
              <w:t>Ascolto</w:t>
            </w:r>
          </w:p>
        </w:tc>
        <w:tc>
          <w:tcPr>
            <w:tcW w:w="1498" w:type="dxa"/>
            <w:gridSpan w:val="2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Lettura</w:t>
            </w:r>
          </w:p>
        </w:tc>
        <w:tc>
          <w:tcPr>
            <w:tcW w:w="1501" w:type="dxa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Interazione</w:t>
            </w:r>
          </w:p>
        </w:tc>
        <w:tc>
          <w:tcPr>
            <w:tcW w:w="1500" w:type="dxa"/>
            <w:gridSpan w:val="2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Produzione orale</w:t>
            </w:r>
          </w:p>
        </w:tc>
        <w:tc>
          <w:tcPr>
            <w:tcW w:w="1498" w:type="dxa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RightColumn"/>
              <w:spacing w:before="62" w:after="0"/>
              <w:rPr/>
            </w:pPr>
            <w:r>
              <w:rPr/>
            </w:r>
          </w:p>
        </w:tc>
      </w:tr>
      <w:tr>
        <w:trPr>
          <w:trHeight w:val="283" w:hRule="atLeast"/>
        </w:trPr>
        <w:tc>
          <w:tcPr>
            <w:tcW w:w="2834" w:type="dxa"/>
            <w:tcBorders/>
            <w:shd w:color="auto" w:fill="auto" w:val="clear"/>
            <w:vAlign w:val="center"/>
          </w:tcPr>
          <w:p>
            <w:pPr>
              <w:pStyle w:val="ECVLanguageName"/>
              <w:rPr/>
            </w:pPr>
            <w:r>
              <w:rPr/>
              <w:t xml:space="preserve">INGLESE </w:t>
            </w:r>
          </w:p>
        </w:tc>
        <w:tc>
          <w:tcPr>
            <w:tcW w:w="1544" w:type="dxa"/>
            <w:tcBorders>
              <w:top w:val="single" w:sz="4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B1/B2</w:t>
            </w:r>
          </w:p>
        </w:tc>
        <w:tc>
          <w:tcPr>
            <w:tcW w:w="1498" w:type="dxa"/>
            <w:gridSpan w:val="2"/>
            <w:tcBorders>
              <w:top w:val="single" w:sz="4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B1/B2</w:t>
            </w:r>
          </w:p>
        </w:tc>
        <w:tc>
          <w:tcPr>
            <w:tcW w:w="1501" w:type="dxa"/>
            <w:tcBorders>
              <w:top w:val="single" w:sz="4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B1/B2</w:t>
            </w:r>
          </w:p>
        </w:tc>
        <w:tc>
          <w:tcPr>
            <w:tcW w:w="1500" w:type="dxa"/>
            <w:gridSpan w:val="2"/>
            <w:tcBorders>
              <w:top w:val="single" w:sz="4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B1/B2</w:t>
            </w:r>
          </w:p>
        </w:tc>
        <w:tc>
          <w:tcPr>
            <w:tcW w:w="1498" w:type="dxa"/>
            <w:tcBorders>
              <w:top w:val="single" w:sz="4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B1/B2</w:t>
            </w:r>
          </w:p>
        </w:tc>
      </w:tr>
      <w:tr>
        <w:trPr>
          <w:trHeight w:val="397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Standard"/>
              <w:rPr/>
            </w:pPr>
            <w:r>
              <w:rPr/>
            </w:r>
          </w:p>
        </w:tc>
        <w:tc>
          <w:tcPr>
            <w:tcW w:w="7541" w:type="dxa"/>
            <w:gridSpan w:val="7"/>
            <w:tcBorders/>
            <w:shd w:color="auto" w:fill="auto" w:val="clear"/>
            <w:vAlign w:val="bottom"/>
          </w:tcPr>
          <w:p>
            <w:pPr>
              <w:pStyle w:val="ECVLanguageExplanation"/>
              <w:rPr>
                <w:color w:val="000080"/>
              </w:rPr>
            </w:pPr>
            <w:r>
              <w:rPr>
                <w:color w:val="000080"/>
              </w:rPr>
              <w:t>Livelli: A1/A2: Utente base  -  B1/B2: Utente intermedio  -  C1/C2: Utente avanzato</w:t>
            </w:r>
          </w:p>
          <w:p>
            <w:pPr>
              <w:pStyle w:val="ECVLanguageExplanation"/>
              <w:rPr/>
            </w:pPr>
            <w:hyperlink r:id="rId7">
              <w:r>
                <w:rPr>
                  <w:rStyle w:val="CollegamentoInternet"/>
                </w:rPr>
                <w:t>Quadro Comune Europeo di Riferimento delle Lingue</w:t>
              </w:r>
            </w:hyperlink>
          </w:p>
        </w:tc>
      </w:tr>
    </w:tbl>
    <w:p>
      <w:pPr>
        <w:pStyle w:val="Standard"/>
        <w:rPr/>
      </w:pPr>
      <w:r>
        <w:rPr/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1"/>
      </w:tblGrid>
      <w:tr>
        <w:trPr>
          <w:trHeight w:val="170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Competenze comunicative</w:t>
            </w:r>
          </w:p>
        </w:tc>
        <w:tc>
          <w:tcPr>
            <w:tcW w:w="7541" w:type="dxa"/>
            <w:tcBorders/>
            <w:shd w:color="auto" w:fill="auto" w:val="clear"/>
          </w:tcPr>
          <w:p>
            <w:pPr>
              <w:pStyle w:val="ECVSectionBulle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Ottime capacità di lavorare in team </w:t>
            </w:r>
          </w:p>
          <w:p>
            <w:pPr>
              <w:pStyle w:val="ECVSectionBullet"/>
              <w:numPr>
                <w:ilvl w:val="0"/>
                <w:numId w:val="1"/>
              </w:numPr>
              <w:rPr/>
            </w:pPr>
            <w:r>
              <w:rPr>
                <w:sz w:val="20"/>
                <w:szCs w:val="20"/>
              </w:rPr>
              <w:t>Ottima organizzazione e capacità di lavorare in gruppo gestendo anche collaboratori e studenti con minore esperienza</w:t>
            </w:r>
          </w:p>
        </w:tc>
      </w:tr>
    </w:tbl>
    <w:p>
      <w:pPr>
        <w:pStyle w:val="ECVText"/>
        <w:rPr/>
      </w:pPr>
      <w:r>
        <w:rPr/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1"/>
      </w:tblGrid>
      <w:tr>
        <w:trPr>
          <w:trHeight w:val="170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Competenze organizzative e gestionali</w:t>
            </w:r>
          </w:p>
        </w:tc>
        <w:tc>
          <w:tcPr>
            <w:tcW w:w="7541" w:type="dxa"/>
            <w:tcBorders/>
            <w:shd w:color="auto" w:fill="auto" w:val="clear"/>
          </w:tcPr>
          <w:p>
            <w:pPr>
              <w:pStyle w:val="ECVSectionBulle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ottima capacità organizzativa, di apprendimento di nuove tecniche e di adattamento nell’affrontare esperienze nuove</w:t>
            </w:r>
          </w:p>
          <w:p>
            <w:pPr>
              <w:pStyle w:val="ECVSectionBulle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ottima capacità organizzativa, di apprendimento di nuove tecniche e di adattamento nell’affrontare esperienze nuove; </w:t>
            </w:r>
          </w:p>
          <w:p>
            <w:pPr>
              <w:pStyle w:val="ECVSectionBulle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forte determinazione e motivazione;</w:t>
            </w:r>
          </w:p>
          <w:p>
            <w:pPr>
              <w:pStyle w:val="ECVSectionBulle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abilità nel condurre esperimenti in autonomia;</w:t>
            </w:r>
          </w:p>
          <w:p>
            <w:pPr>
              <w:pStyle w:val="ECVSectionBulle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ottima capacità di interpretazione dei dati  per la stesura di report e lavori scientifici.</w:t>
            </w:r>
          </w:p>
          <w:p>
            <w:pPr>
              <w:pStyle w:val="ECVSectionBullet"/>
              <w:ind w:left="113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ECVText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1"/>
      </w:tblGrid>
      <w:tr>
        <w:trPr>
          <w:trHeight w:val="170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Competenze professionali</w:t>
            </w:r>
          </w:p>
        </w:tc>
        <w:tc>
          <w:tcPr>
            <w:tcW w:w="7541" w:type="dxa"/>
            <w:tcBorders/>
            <w:shd w:color="auto" w:fill="auto" w:val="clear"/>
          </w:tcPr>
          <w:p>
            <w:pPr>
              <w:pStyle w:val="ECVSectionBullet"/>
              <w:numPr>
                <w:ilvl w:val="0"/>
                <w:numId w:val="1"/>
              </w:numPr>
              <w:jc w:val="both"/>
              <w:rPr/>
            </w:pPr>
            <w:r>
              <w:rPr>
                <w:b/>
                <w:sz w:val="20"/>
                <w:szCs w:val="20"/>
              </w:rPr>
              <w:t>Biologia Molecolare</w:t>
            </w:r>
            <w:r>
              <w:rPr>
                <w:sz w:val="20"/>
                <w:szCs w:val="20"/>
              </w:rPr>
              <w:t>: Estrazione di DNA e RNA; elettroforesi su agarosio e SDS-PAGE; real-time PCR  (Syber Green, TaqMan); Analisi di espressione genica; clonaggi e mutazioni sito specifiche; RT-PCR per rilevazione di marker tumorali (in particolare miRNAs) in campioni biologici (siero e plasma)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/>
            </w:pPr>
            <w:r>
              <w:rPr>
                <w:b/>
                <w:bCs/>
                <w:sz w:val="20"/>
                <w:szCs w:val="20"/>
              </w:rPr>
              <w:t>Biologia cellulare</w:t>
            </w:r>
            <w:r>
              <w:rPr>
                <w:bCs/>
                <w:sz w:val="20"/>
                <w:szCs w:val="20"/>
              </w:rPr>
              <w:t xml:space="preserve">: allestimento di colture cellulari di sistemi tumorali differenti </w:t>
            </w:r>
            <w:r>
              <w:rPr>
                <w:sz w:val="20"/>
                <w:szCs w:val="20"/>
              </w:rPr>
              <w:t xml:space="preserve">(colon, prostata, tumori cerebrali e mammari) e colture primarie da tumori; produzione  e caratterizzazione di cloni stabili; preparazione di cellule per impianti sottocute e in organo bersaglio ; infezione con adenovirus; trasfezione mediante metodo di precipitazione, elettroporazione e utilizzo di sostanze lipofiliche; saggio di luciferasi; saggio di proliferazione; soft agar; saggio di caspasi; saggi di motilità cellulare e allestimento di campioni per analisi al FACS (Annexina V e Ciclo cellulare )  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/>
            </w:pPr>
            <w:r>
              <w:rPr>
                <w:b/>
                <w:sz w:val="20"/>
                <w:szCs w:val="20"/>
              </w:rPr>
              <w:t>Biochimica</w:t>
            </w:r>
            <w:r>
              <w:rPr>
                <w:sz w:val="20"/>
                <w:szCs w:val="20"/>
              </w:rPr>
              <w:t>: estrazione di proteine da diversi campioni biologici; trasformazione di cellule batteriche competenti per (BL21 e Rosette); preparazione di inoculi batterici per estrazione di DNA plasmidico ed espressione di proteine ricombinanti; estrazione, isolamento e purificazione mediante colonna o resina al Nichel; Western Blot; ELISA; curve di calibrazione per il dosaggio di colesterolo e fosfolipidi; analisi di stabilità di nanolipidi in siero umano e murino mediante SDS-PAGE.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/>
            </w:pPr>
            <w:r>
              <w:rPr>
                <w:b/>
                <w:sz w:val="20"/>
                <w:szCs w:val="20"/>
              </w:rPr>
              <w:t>Immunoistochimica</w:t>
            </w:r>
            <w:r>
              <w:rPr>
                <w:sz w:val="20"/>
                <w:szCs w:val="20"/>
              </w:rPr>
              <w:t>: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preparazione di campioni istologici; taglio e colorazioni dei tessuti (H&amp;E e sudan black); saggi immunoistochimici con anticorpi specifici. 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/>
            </w:pPr>
            <w:r>
              <w:rPr>
                <w:b/>
                <w:sz w:val="20"/>
                <w:szCs w:val="20"/>
              </w:rPr>
              <w:t>Chimica</w:t>
            </w:r>
            <w:r>
              <w:rPr>
                <w:sz w:val="20"/>
                <w:szCs w:val="20"/>
              </w:rPr>
              <w:t>: Analisi di stabilità in siero umano e murino, fatta mediante HPLC, di peptidi e oligonucleotidi  sintetici; analisi di Dicroismo Circolare  per valutare la struttura degli oligonucleotidi sintetici (DNA e RNA);  primi elementi di sintesi chimica di oligonucleotidi con successiva coniugazione a  peptidi sintetici e purificazione mediante cromatografia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/>
            </w:pPr>
            <w:r>
              <w:rPr>
                <w:b/>
                <w:sz w:val="20"/>
                <w:szCs w:val="20"/>
              </w:rPr>
              <w:t>Nanotecnologia</w:t>
            </w:r>
            <w:r>
              <w:rPr>
                <w:sz w:val="20"/>
                <w:szCs w:val="20"/>
              </w:rPr>
              <w:t xml:space="preserve">: Preparazione e caratterizzazione di nanolipidi per la veicolazione in sistemi tumorali differenti di molecole ad attività terapeutica di diversa natura (acidi nucleici, nanomolecole e peptidi modificati) o traccianti per attività diagnostica; 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/>
            </w:pPr>
            <w:r>
              <w:rPr>
                <w:sz w:val="20"/>
                <w:szCs w:val="20"/>
              </w:rPr>
              <w:t xml:space="preserve">Allestimento di esperimenti </w:t>
            </w:r>
            <w:r>
              <w:rPr>
                <w:i/>
                <w:sz w:val="20"/>
                <w:szCs w:val="20"/>
              </w:rPr>
              <w:t>in vivo (xenotrapianti in modelli murini)</w:t>
            </w:r>
            <w:r>
              <w:rPr>
                <w:sz w:val="20"/>
                <w:szCs w:val="20"/>
              </w:rPr>
              <w:t xml:space="preserve"> per valutare l’azione terapeutica delle molecole oggetto di studio; valutazione dell’inibizione o della progressione del tumore mediante misurazione del volume e bioluminescenza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Preparazione report tecnici/documentazioni scientifiche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 di analisi statistiche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Principi base del lavoro in ambienti GMP</w:t>
            </w:r>
          </w:p>
          <w:p>
            <w:pPr>
              <w:pStyle w:val="ECVSectionBullet"/>
              <w:numPr>
                <w:ilvl w:val="0"/>
                <w:numId w:val="1"/>
              </w:numPr>
              <w:jc w:val="both"/>
              <w:rPr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Competenze informatiche: </w:t>
            </w:r>
            <w:r>
              <w:rPr>
                <w:rFonts w:ascii="Times New Roman" w:hAnsi="Times New Roman"/>
                <w:sz w:val="22"/>
                <w:szCs w:val="22"/>
              </w:rPr>
              <w:t>Buona conoscenza dei programmi Windows and Microsoft</w:t>
            </w:r>
          </w:p>
          <w:p>
            <w:pPr>
              <w:pStyle w:val="ECVSectionBullet"/>
              <w:ind w:left="113" w:hanging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Office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TM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(Word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TM</w:t>
            </w:r>
            <w:r>
              <w:rPr>
                <w:rFonts w:ascii="Times New Roman" w:hAnsi="Times New Roman"/>
                <w:sz w:val="22"/>
                <w:szCs w:val="22"/>
              </w:rPr>
              <w:t>, Excel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TM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and Power point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TM</w:t>
            </w:r>
            <w:r>
              <w:rPr>
                <w:rFonts w:ascii="Times New Roman" w:hAnsi="Times New Roman"/>
                <w:sz w:val="22"/>
                <w:szCs w:val="22"/>
              </w:rPr>
              <w:t>); Buona conoscenza online databank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Cs w:val="18"/>
              </w:rPr>
              <w:t>(NCBI, Ensemble Genome Browser, UCSC Genome Browser, Uniprot, Protein Data Bank); Buona conoscenza dei softwares: Endnote, Photoshop, SPSS, Quantity one-Biorad; Image-J, Chemi-DOC, Open Lab CDC (HPLC, Agilent)</w:t>
            </w:r>
          </w:p>
          <w:p>
            <w:pPr>
              <w:pStyle w:val="CVNormal"/>
              <w:spacing w:lineRule="auto" w:line="360"/>
              <w:ind w:left="0" w:right="113" w:hanging="0"/>
              <w:jc w:val="both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</w:r>
          </w:p>
          <w:p>
            <w:pPr>
              <w:pStyle w:val="ECVSectionBullet"/>
              <w:rPr>
                <w:sz w:val="20"/>
                <w:szCs w:val="20"/>
              </w:rPr>
            </w:pPr>
            <w:bookmarkStart w:id="0" w:name="_GoBack"/>
            <w:bookmarkStart w:id="1" w:name="_GoBack"/>
            <w:bookmarkEnd w:id="1"/>
            <w:r>
              <w:rPr>
                <w:sz w:val="20"/>
                <w:szCs w:val="20"/>
              </w:rPr>
            </w:r>
          </w:p>
        </w:tc>
      </w:tr>
      <w:tr>
        <w:trPr>
          <w:trHeight w:val="170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</w:r>
          </w:p>
        </w:tc>
        <w:tc>
          <w:tcPr>
            <w:tcW w:w="7541" w:type="dxa"/>
            <w:tcBorders/>
            <w:shd w:color="auto" w:fill="auto" w:val="clear"/>
          </w:tcPr>
          <w:p>
            <w:pPr>
              <w:pStyle w:val="ECVSectionBullet"/>
              <w:ind w:left="113" w:hanging="0"/>
              <w:jc w:val="both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ECVText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1544"/>
        <w:gridCol w:w="1498"/>
        <w:gridCol w:w="1501"/>
        <w:gridCol w:w="1500"/>
        <w:gridCol w:w="1498"/>
      </w:tblGrid>
      <w:tr>
        <w:trPr>
          <w:trHeight w:val="340" w:hRule="atLeast"/>
        </w:trPr>
        <w:tc>
          <w:tcPr>
            <w:tcW w:w="2834" w:type="dxa"/>
            <w:vMerge w:val="restart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Competenza digitale</w:t>
            </w:r>
          </w:p>
        </w:tc>
        <w:tc>
          <w:tcPr>
            <w:tcW w:w="7541" w:type="dxa"/>
            <w:gridSpan w:val="5"/>
            <w:tcBorders>
              <w:top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vAlign w:val="center"/>
          </w:tcPr>
          <w:p>
            <w:pPr>
              <w:pStyle w:val="ECVLanguageHeading"/>
              <w:rPr/>
            </w:pPr>
            <w:r>
              <w:rPr/>
              <w:t>AUTOVALUTAZIONE</w:t>
            </w:r>
          </w:p>
        </w:tc>
      </w:tr>
      <w:tr>
        <w:trPr>
          <w:trHeight w:val="68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44" w:type="dxa"/>
            <w:tcBorders>
              <w:top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227" w:type="dxa"/>
              <w:right w:w="227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Elaborazione delle informazioni</w:t>
            </w:r>
          </w:p>
        </w:tc>
        <w:tc>
          <w:tcPr>
            <w:tcW w:w="1498" w:type="dxa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207" w:type="dxa"/>
              <w:right w:w="227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Comunicazione</w:t>
            </w:r>
          </w:p>
        </w:tc>
        <w:tc>
          <w:tcPr>
            <w:tcW w:w="1501" w:type="dxa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207" w:type="dxa"/>
              <w:right w:w="227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Creazione di Contenuti</w:t>
            </w:r>
          </w:p>
        </w:tc>
        <w:tc>
          <w:tcPr>
            <w:tcW w:w="1500" w:type="dxa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207" w:type="dxa"/>
              <w:right w:w="227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Sicurezza</w:t>
            </w:r>
          </w:p>
        </w:tc>
        <w:tc>
          <w:tcPr>
            <w:tcW w:w="1498" w:type="dxa"/>
            <w:tcBorders>
              <w:top w:val="single" w:sz="8" w:space="0" w:color="C6C6C6"/>
              <w:left w:val="single" w:sz="8" w:space="0" w:color="C6C6C6"/>
              <w:bottom w:val="single" w:sz="8" w:space="0" w:color="C6C6C6"/>
              <w:insideH w:val="single" w:sz="8" w:space="0" w:color="C6C6C6"/>
            </w:tcBorders>
            <w:shd w:color="auto" w:fill="auto" w:val="clear"/>
            <w:tcMar>
              <w:left w:w="207" w:type="dxa"/>
              <w:right w:w="227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Risoluzione di problemi</w:t>
            </w:r>
          </w:p>
        </w:tc>
      </w:tr>
      <w:tr>
        <w:trPr>
          <w:trHeight w:val="283" w:hRule="atLeast"/>
        </w:trPr>
        <w:tc>
          <w:tcPr>
            <w:tcW w:w="2834" w:type="dxa"/>
            <w:tcBorders/>
            <w:shd w:color="auto" w:fill="auto" w:val="clear"/>
            <w:vAlign w:val="center"/>
          </w:tcPr>
          <w:p>
            <w:pPr>
              <w:pStyle w:val="Standard"/>
              <w:rPr/>
            </w:pPr>
            <w:r>
              <w:rPr/>
            </w:r>
          </w:p>
        </w:tc>
        <w:tc>
          <w:tcPr>
            <w:tcW w:w="1544" w:type="dxa"/>
            <w:tcBorders>
              <w:top w:val="single" w:sz="4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tcMar>
              <w:top w:w="113" w:type="dxa"/>
              <w:bottom w:w="113" w:type="dxa"/>
            </w:tcMar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Utente avanzato</w:t>
            </w:r>
          </w:p>
        </w:tc>
        <w:tc>
          <w:tcPr>
            <w:tcW w:w="1498" w:type="dxa"/>
            <w:tcBorders>
              <w:top w:val="single" w:sz="4" w:space="0" w:color="C6C6C6"/>
              <w:left w:val="single" w:sz="8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tcMar>
              <w:top w:w="113" w:type="dxa"/>
              <w:left w:w="-10" w:type="dxa"/>
              <w:bottom w:w="113" w:type="dxa"/>
            </w:tcMar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Utente avanzato</w:t>
            </w:r>
          </w:p>
        </w:tc>
        <w:tc>
          <w:tcPr>
            <w:tcW w:w="1501" w:type="dxa"/>
            <w:tcBorders>
              <w:top w:val="single" w:sz="4" w:space="0" w:color="C6C6C6"/>
              <w:left w:val="single" w:sz="8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tcMar>
              <w:top w:w="113" w:type="dxa"/>
              <w:left w:w="-10" w:type="dxa"/>
              <w:bottom w:w="113" w:type="dxa"/>
            </w:tcMar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Utente avanzato</w:t>
            </w:r>
          </w:p>
        </w:tc>
        <w:tc>
          <w:tcPr>
            <w:tcW w:w="1500" w:type="dxa"/>
            <w:tcBorders>
              <w:top w:val="single" w:sz="4" w:space="0" w:color="C6C6C6"/>
              <w:left w:val="single" w:sz="8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tcMar>
              <w:top w:w="113" w:type="dxa"/>
              <w:left w:w="-10" w:type="dxa"/>
              <w:bottom w:w="113" w:type="dxa"/>
            </w:tcMar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Utente avanzato</w:t>
            </w:r>
          </w:p>
        </w:tc>
        <w:tc>
          <w:tcPr>
            <w:tcW w:w="1498" w:type="dxa"/>
            <w:tcBorders>
              <w:top w:val="single" w:sz="4" w:space="0" w:color="C6C6C6"/>
              <w:left w:val="single" w:sz="8" w:space="0" w:color="C6C6C6"/>
              <w:bottom w:val="single" w:sz="4" w:space="0" w:color="C6C6C6"/>
              <w:insideH w:val="single" w:sz="4" w:space="0" w:color="C6C6C6"/>
            </w:tcBorders>
            <w:shd w:color="auto" w:fill="auto" w:val="clear"/>
            <w:tcMar>
              <w:top w:w="113" w:type="dxa"/>
              <w:left w:w="-10" w:type="dxa"/>
              <w:bottom w:w="113" w:type="dxa"/>
            </w:tcMar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/>
              <w:t>Utente avanzato</w:t>
            </w:r>
          </w:p>
        </w:tc>
      </w:tr>
      <w:tr>
        <w:trPr>
          <w:trHeight w:val="397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Standard"/>
              <w:rPr/>
            </w:pPr>
            <w:r>
              <w:rPr/>
            </w:r>
          </w:p>
        </w:tc>
        <w:tc>
          <w:tcPr>
            <w:tcW w:w="7541" w:type="dxa"/>
            <w:gridSpan w:val="5"/>
            <w:tcBorders/>
            <w:shd w:color="auto" w:fill="auto" w:val="clear"/>
            <w:tcMar>
              <w:bottom w:w="113" w:type="dxa"/>
            </w:tcMar>
            <w:vAlign w:val="center"/>
          </w:tcPr>
          <w:p>
            <w:pPr>
              <w:pStyle w:val="ECVLanguageExplanation"/>
              <w:rPr>
                <w:color w:val="000080"/>
              </w:rPr>
            </w:pPr>
            <w:r>
              <w:rPr>
                <w:color w:val="000080"/>
              </w:rPr>
              <w:t>Livelli: Utente base  -  Utente intermedio  -  Utente avanzato</w:t>
            </w:r>
          </w:p>
          <w:p>
            <w:pPr>
              <w:pStyle w:val="ECVLanguageExplanation"/>
              <w:rPr/>
            </w:pPr>
            <w:hyperlink r:id="rId8">
              <w:r>
                <w:rPr>
                  <w:rStyle w:val="CollegamentoInternet"/>
                </w:rPr>
                <w:t>Competenze digitali - Scheda per l'autovalutazione</w:t>
              </w:r>
            </w:hyperlink>
          </w:p>
        </w:tc>
      </w:tr>
    </w:tbl>
    <w:p>
      <w:pPr>
        <w:pStyle w:val="Standard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1"/>
      </w:tblGrid>
      <w:tr>
        <w:trPr>
          <w:trHeight w:val="522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Altre competenze</w:t>
            </w:r>
          </w:p>
        </w:tc>
        <w:tc>
          <w:tcPr>
            <w:tcW w:w="7541" w:type="dxa"/>
            <w:tcBorders/>
            <w:shd w:color="auto" w:fill="auto" w:val="clear"/>
          </w:tcPr>
          <w:p>
            <w:pPr>
              <w:pStyle w:val="ECVSectionBullet"/>
              <w:numPr>
                <w:ilvl w:val="0"/>
                <w:numId w:val="4"/>
              </w:numPr>
              <w:rPr/>
            </w:pPr>
            <w:r>
              <w:rPr/>
              <w:t>Esperienza attività di docenza-supplenze in materie scientifiche</w:t>
            </w:r>
          </w:p>
        </w:tc>
      </w:tr>
    </w:tbl>
    <w:p>
      <w:pPr>
        <w:pStyle w:val="Standard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1"/>
      </w:tblGrid>
      <w:tr>
        <w:trPr>
          <w:trHeight w:val="170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Patente di guida</w:t>
            </w:r>
          </w:p>
        </w:tc>
        <w:tc>
          <w:tcPr>
            <w:tcW w:w="7541" w:type="dxa"/>
            <w:tcBorders/>
            <w:shd w:color="auto" w:fill="auto" w:val="clear"/>
          </w:tcPr>
          <w:p>
            <w:pPr>
              <w:pStyle w:val="ECVSectionDetails"/>
              <w:suppressLineNumbers/>
              <w:spacing w:before="28" w:after="0"/>
              <w:rPr/>
            </w:pPr>
            <w:r>
              <w:rPr/>
              <w:t>Patente di guida</w:t>
            </w:r>
          </w:p>
          <w:p>
            <w:pPr>
              <w:pStyle w:val="ECVSectionDetails"/>
              <w:rPr/>
            </w:pPr>
            <w:r>
              <w:rPr/>
              <w:t>B</w:t>
            </w:r>
          </w:p>
        </w:tc>
      </w:tr>
    </w:tbl>
    <w:p>
      <w:pPr>
        <w:pStyle w:val="ECVText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10375" w:type="dxa"/>
        <w:jc w:val="righ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  <w:t>ULTERIORI INFORMAZIONI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90170"/>
                  <wp:effectExtent l="0" t="0" r="0" b="0"/>
                  <wp:docPr id="5" name="graphics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s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ECVText"/>
        <w:rPr/>
      </w:pPr>
      <w:r>
        <w:rPr/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1"/>
      </w:tblGrid>
      <w:tr>
        <w:trPr>
          <w:trHeight w:val="3121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>
                <w:szCs w:val="18"/>
              </w:rPr>
            </w:pPr>
            <w:r>
              <w:rPr>
                <w:szCs w:val="18"/>
              </w:rPr>
              <w:t>Pubblicazioni</w:t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jc w:val="left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  <w:t>Conferenze</w:t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  <w:t>Referenze</w:t>
            </w:r>
          </w:p>
          <w:p>
            <w:pPr>
              <w:pStyle w:val="ECVLeftDetails"/>
              <w:rPr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w="7541" w:type="dxa"/>
            <w:tcBorders/>
            <w:shd w:color="auto" w:fill="auto" w:val="clear"/>
          </w:tcPr>
          <w:p>
            <w:pPr>
              <w:pStyle w:val="ECVSectionDetails"/>
              <w:spacing w:before="28" w:after="0"/>
              <w:jc w:val="both"/>
              <w:rPr/>
            </w:pPr>
            <w:r>
              <w:rPr>
                <w:b/>
                <w:szCs w:val="18"/>
              </w:rPr>
              <w:t>Sottomesso August 2017</w:t>
            </w:r>
            <w:r>
              <w:rPr>
                <w:szCs w:val="18"/>
              </w:rPr>
              <w:t xml:space="preserve">: Pasqualino de Antonellis et al. </w:t>
            </w:r>
            <w:r>
              <w:rPr>
                <w:b/>
                <w:szCs w:val="18"/>
                <w:u w:val="single"/>
                <w:lang w:val="en-US"/>
              </w:rPr>
              <w:t>Metastatic recurrence of Group 3 medulloblastoma is driven by PRUNE-1 through targeting NM23-H1–TGF-</w:t>
            </w:r>
            <w:r>
              <w:rPr>
                <w:b/>
                <w:szCs w:val="18"/>
                <w:u w:val="single"/>
              </w:rPr>
              <w:t>β</w:t>
            </w:r>
            <w:r>
              <w:rPr>
                <w:b/>
                <w:szCs w:val="18"/>
                <w:u w:val="single"/>
                <w:lang w:val="en-US"/>
              </w:rPr>
              <w:t>–OTX2–SNAIL signaling via PTEN inhibition</w:t>
            </w:r>
            <w:r>
              <w:rPr>
                <w:b/>
                <w:szCs w:val="18"/>
                <w:lang w:val="en-US"/>
              </w:rPr>
              <w:t xml:space="preserve">. </w:t>
            </w:r>
            <w:r>
              <w:rPr>
                <w:b/>
                <w:szCs w:val="18"/>
              </w:rPr>
              <w:t>Brain (N. BRAIN-2017-01440)</w:t>
            </w:r>
          </w:p>
          <w:p>
            <w:pPr>
              <w:pStyle w:val="ECVSectionDetails"/>
              <w:jc w:val="both"/>
              <w:rPr>
                <w:b/>
                <w:b/>
                <w:szCs w:val="18"/>
              </w:rPr>
            </w:pPr>
            <w:r>
              <w:rPr>
                <w:b/>
                <w:szCs w:val="18"/>
              </w:rPr>
            </w:r>
          </w:p>
          <w:p>
            <w:pPr>
              <w:pStyle w:val="ECVSectionDetails"/>
              <w:jc w:val="both"/>
              <w:rPr/>
            </w:pPr>
            <w:r>
              <w:rPr>
                <w:b/>
                <w:szCs w:val="18"/>
              </w:rPr>
              <w:t>Agosto 2014</w:t>
            </w:r>
            <w:r>
              <w:rPr>
                <w:szCs w:val="18"/>
              </w:rPr>
              <w:t xml:space="preserve">: Pasqualino de Antonellis, Marianeve Carotenuto, Jonathan Vandenbussche, Gennaro De Vita, Veronica Ferrucci, Chiara Medaglia, Sarah Di Somma, Daniela Magliulo, Nadia Aiese, Alessandro Alonzi, Daniela Spano, </w:t>
            </w:r>
            <w:r>
              <w:rPr>
                <w:b/>
                <w:szCs w:val="18"/>
                <w:u w:val="single"/>
              </w:rPr>
              <w:t>Lucia Liguori,…..</w:t>
            </w:r>
            <w:r>
              <w:rPr>
                <w:szCs w:val="18"/>
              </w:rPr>
              <w:t xml:space="preserve"> and  Massimo Zollo. </w:t>
            </w:r>
            <w:r>
              <w:rPr>
                <w:b/>
                <w:szCs w:val="18"/>
                <w:u w:val="single"/>
                <w:lang w:val="en-US"/>
              </w:rPr>
              <w:t>Early Targets of miR-34a in Neuroblastoma; Mol Cell Proteomics</w:t>
            </w:r>
            <w:r>
              <w:rPr>
                <w:szCs w:val="18"/>
                <w:u w:val="single"/>
                <w:lang w:val="en-US"/>
              </w:rPr>
              <w:t>.</w:t>
            </w:r>
            <w:r>
              <w:rPr>
                <w:szCs w:val="18"/>
                <w:lang w:val="en-US"/>
              </w:rPr>
              <w:t xml:space="preserve">  </w:t>
            </w:r>
            <w:r>
              <w:rPr>
                <w:szCs w:val="18"/>
              </w:rPr>
              <w:t>2014 Aug; 13(8):2114-31. doi: 10.1074/mcp.M113.035808. Epub 2014 Jun 9</w:t>
            </w:r>
          </w:p>
          <w:p>
            <w:pPr>
              <w:pStyle w:val="ECVSectionDetails"/>
              <w:jc w:val="both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SectionDetails"/>
              <w:jc w:val="both"/>
              <w:rPr/>
            </w:pPr>
            <w:r>
              <w:rPr>
                <w:b/>
                <w:szCs w:val="18"/>
              </w:rPr>
              <w:t>Luglio 2014:</w:t>
            </w:r>
            <w:r>
              <w:rPr>
                <w:szCs w:val="18"/>
              </w:rPr>
              <w:t xml:space="preserve"> Marianeve Carotenuto, Pasqualino de Antonellis, </w:t>
            </w:r>
            <w:r>
              <w:rPr>
                <w:b/>
                <w:szCs w:val="18"/>
                <w:u w:val="single"/>
              </w:rPr>
              <w:t>Lucia Liguori</w:t>
            </w:r>
            <w:r>
              <w:rPr>
                <w:szCs w:val="18"/>
              </w:rPr>
              <w:t xml:space="preserve">, Giovanna Benvenuto,…. and Massimo Zollo.  </w:t>
            </w:r>
            <w:r>
              <w:rPr>
                <w:b/>
                <w:szCs w:val="18"/>
                <w:u w:val="single"/>
                <w:lang w:val="en-US"/>
              </w:rPr>
              <w:t>H-Prune through GSK-3β interaction sustains canonical WNT/β-catenin signaling  enhancing cancer progression in NSCLC</w:t>
            </w:r>
            <w:r>
              <w:rPr>
                <w:b/>
                <w:szCs w:val="18"/>
                <w:lang w:val="en-US"/>
              </w:rPr>
              <w:t xml:space="preserve">. </w:t>
            </w:r>
            <w:r>
              <w:rPr>
                <w:b/>
                <w:szCs w:val="18"/>
              </w:rPr>
              <w:t>Oncotarget</w:t>
            </w:r>
            <w:r>
              <w:rPr>
                <w:szCs w:val="18"/>
              </w:rPr>
              <w:t>. 2014 Jul 30;5(14):5736-49</w:t>
            </w:r>
          </w:p>
          <w:p>
            <w:pPr>
              <w:pStyle w:val="ECVSectionDetails"/>
              <w:jc w:val="both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SectionDetails"/>
              <w:jc w:val="both"/>
              <w:rPr>
                <w:lang w:val="en-US"/>
              </w:rPr>
            </w:pPr>
            <w:r>
              <w:rPr>
                <w:b/>
                <w:szCs w:val="18"/>
              </w:rPr>
              <w:t>Gennaio 2013</w:t>
            </w:r>
            <w:r>
              <w:rPr>
                <w:szCs w:val="18"/>
              </w:rPr>
              <w:t xml:space="preserve">: Pasqualino de Antonellis*,  </w:t>
            </w:r>
            <w:r>
              <w:rPr>
                <w:b/>
                <w:szCs w:val="18"/>
                <w:u w:val="single"/>
              </w:rPr>
              <w:t>Lucia Liguori*,</w:t>
            </w:r>
            <w:r>
              <w:rPr>
                <w:szCs w:val="18"/>
              </w:rPr>
              <w:t xml:space="preserve"> Annarita Falanga, Marianeve Carotenuto…. </w:t>
            </w:r>
            <w:r>
              <w:rPr>
                <w:szCs w:val="18"/>
                <w:lang w:val="en-US"/>
              </w:rPr>
              <w:t xml:space="preserve">and Massimo Zollo. </w:t>
            </w:r>
            <w:r>
              <w:rPr>
                <w:b/>
                <w:szCs w:val="18"/>
                <w:u w:val="single"/>
                <w:lang w:val="en-US"/>
              </w:rPr>
              <w:t>MicroRNA 199b-5p delivery through stable nucleic acid lipid particles (SNALPs ) in tumorigenic cell lines; Naunyn-Schmiedeberg's Arch Pharmacol</w:t>
            </w:r>
            <w:r>
              <w:rPr>
                <w:szCs w:val="18"/>
                <w:lang w:val="en-US"/>
              </w:rPr>
              <w:t xml:space="preserve"> DOI 10.1007/s00210-013-0837-4 </w:t>
            </w:r>
            <w:r>
              <w:rPr>
                <w:b/>
                <w:szCs w:val="18"/>
                <w:lang w:val="en-US"/>
              </w:rPr>
              <w:t>*These authors contributed equally to this study</w:t>
            </w:r>
          </w:p>
          <w:p>
            <w:pPr>
              <w:pStyle w:val="ECVSectionDetails"/>
              <w:jc w:val="both"/>
              <w:rPr>
                <w:b/>
                <w:b/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</w:r>
          </w:p>
          <w:p>
            <w:pPr>
              <w:pStyle w:val="ECVSectionDetails"/>
              <w:jc w:val="both"/>
              <w:rPr/>
            </w:pPr>
            <w:r>
              <w:rPr>
                <w:b/>
                <w:szCs w:val="18"/>
              </w:rPr>
              <w:t>Gennaio 2013</w:t>
            </w:r>
            <w:r>
              <w:rPr>
                <w:szCs w:val="18"/>
              </w:rPr>
              <w:t xml:space="preserve">: Italian Traslation of cap.14 and 15: </w:t>
            </w:r>
            <w:r>
              <w:rPr>
                <w:b/>
                <w:szCs w:val="18"/>
              </w:rPr>
              <w:t>Genetica-principi di analisi formale settima edizione Antony J.F. Griffiths</w:t>
            </w:r>
            <w:r>
              <w:rPr>
                <w:szCs w:val="18"/>
              </w:rPr>
              <w:t xml:space="preserve"> (Zanichelli). ISBN 978-88-08-19870-9</w:t>
            </w:r>
          </w:p>
          <w:p>
            <w:pPr>
              <w:pStyle w:val="ECVSectionDetails"/>
              <w:jc w:val="both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SectionDetails"/>
              <w:jc w:val="both"/>
              <w:rPr/>
            </w:pPr>
            <w:r>
              <w:rPr>
                <w:b/>
                <w:szCs w:val="18"/>
              </w:rPr>
              <w:t>Aprile 2012</w:t>
            </w:r>
            <w:r>
              <w:rPr>
                <w:szCs w:val="18"/>
              </w:rPr>
              <w:t xml:space="preserve">: Valeria Di Dato, Daniela Spano, Daniela De Martino, </w:t>
            </w:r>
            <w:r>
              <w:rPr>
                <w:b/>
                <w:szCs w:val="18"/>
                <w:u w:val="single"/>
              </w:rPr>
              <w:t>Lucia Liguori</w:t>
            </w:r>
            <w:r>
              <w:rPr>
                <w:szCs w:val="18"/>
              </w:rPr>
              <w:t xml:space="preserve"> ……and Massimo Zollo </w:t>
            </w:r>
            <w:r>
              <w:rPr>
                <w:b/>
                <w:szCs w:val="18"/>
                <w:u w:val="single"/>
              </w:rPr>
              <w:t>Targeting monocyte chemotactic protein-1 synthesis with bindarit induces tumor regression in prostate and breast cancer animal models. Clin Exp Metastasis</w:t>
            </w:r>
            <w:r>
              <w:rPr>
                <w:b/>
                <w:szCs w:val="18"/>
              </w:rPr>
              <w:t xml:space="preserve"> </w:t>
            </w:r>
            <w:r>
              <w:rPr>
                <w:szCs w:val="18"/>
              </w:rPr>
              <w:t>DOI 10.1007/s10585-012-9473-5</w:t>
            </w:r>
          </w:p>
          <w:p>
            <w:pPr>
              <w:pStyle w:val="ECVSectionDetails"/>
              <w:jc w:val="both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SectionDetails"/>
              <w:jc w:val="both"/>
              <w:rPr/>
            </w:pPr>
            <w:r>
              <w:rPr>
                <w:b/>
                <w:szCs w:val="18"/>
              </w:rPr>
              <w:t>Marzo 2012</w:t>
            </w:r>
            <w:r>
              <w:rPr>
                <w:szCs w:val="18"/>
              </w:rPr>
              <w:t xml:space="preserve">: Immacolata Andolfo, </w:t>
            </w:r>
            <w:r>
              <w:rPr>
                <w:b/>
                <w:szCs w:val="18"/>
                <w:u w:val="single"/>
              </w:rPr>
              <w:t>Lucia Liguori</w:t>
            </w:r>
            <w:r>
              <w:rPr>
                <w:szCs w:val="18"/>
              </w:rPr>
              <w:t xml:space="preserve">, Pasqualino de Antonellis….. </w:t>
            </w:r>
            <w:r>
              <w:rPr>
                <w:szCs w:val="18"/>
                <w:lang w:val="en-US"/>
              </w:rPr>
              <w:t xml:space="preserve">and Massimo Zollo. </w:t>
            </w:r>
            <w:r>
              <w:rPr>
                <w:b/>
                <w:szCs w:val="18"/>
                <w:u w:val="single"/>
                <w:lang w:val="en-US"/>
              </w:rPr>
              <w:t xml:space="preserve">The micro-RNA 199b-5p regulatory circuit involves Hes1, CD15, and epigenetic modifications in medulloblastoma. </w:t>
            </w:r>
            <w:r>
              <w:rPr>
                <w:b/>
                <w:szCs w:val="18"/>
                <w:u w:val="single"/>
              </w:rPr>
              <w:t>Neuro-Oncology</w:t>
            </w:r>
            <w:r>
              <w:rPr>
                <w:szCs w:val="18"/>
                <w:u w:val="single"/>
              </w:rPr>
              <w:t xml:space="preserve"> </w:t>
            </w:r>
            <w:r>
              <w:rPr>
                <w:szCs w:val="18"/>
              </w:rPr>
              <w:t>doi:10.1093/ neuonc/ nos002</w:t>
            </w:r>
          </w:p>
          <w:p>
            <w:pPr>
              <w:pStyle w:val="ECVSectionDetails"/>
              <w:jc w:val="both"/>
              <w:rPr>
                <w:lang w:val="en-US"/>
              </w:rPr>
            </w:pPr>
            <w:r>
              <w:rPr>
                <w:b/>
                <w:szCs w:val="18"/>
              </w:rPr>
              <w:t>Febbraio  2012</w:t>
            </w:r>
            <w:r>
              <w:rPr>
                <w:szCs w:val="18"/>
              </w:rPr>
              <w:t xml:space="preserve">: </w:t>
            </w:r>
            <w:r>
              <w:rPr>
                <w:b/>
                <w:szCs w:val="18"/>
                <w:u w:val="single"/>
              </w:rPr>
              <w:t>Liguori Lucia</w:t>
            </w:r>
            <w:r>
              <w:rPr>
                <w:szCs w:val="18"/>
              </w:rPr>
              <w:t xml:space="preserve">, Immacolata  Andolfo, Pasqualino de Antonellis…..  </w:t>
            </w:r>
            <w:r>
              <w:rPr>
                <w:szCs w:val="18"/>
                <w:lang w:val="en-US"/>
              </w:rPr>
              <w:t xml:space="preserve">and Massimo Zollo . </w:t>
            </w:r>
            <w:r>
              <w:rPr>
                <w:b/>
                <w:szCs w:val="18"/>
                <w:u w:val="single"/>
                <w:lang w:val="en-US"/>
              </w:rPr>
              <w:t>The metallophosphodiesterase Mpped2 impairs tumorigenesis in neuroblastoma</w:t>
            </w:r>
            <w:r>
              <w:rPr>
                <w:szCs w:val="18"/>
                <w:lang w:val="en-US"/>
              </w:rPr>
              <w:t xml:space="preserve">  . Cell Cycle 11:3, 569-581;</w:t>
            </w:r>
          </w:p>
          <w:p>
            <w:pPr>
              <w:pStyle w:val="ECVSectionDetails"/>
              <w:jc w:val="both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</w:r>
          </w:p>
          <w:p>
            <w:pPr>
              <w:pStyle w:val="ECVSectionDetails"/>
              <w:jc w:val="both"/>
              <w:rPr>
                <w:lang w:val="en-US"/>
              </w:rPr>
            </w:pPr>
            <w:r>
              <w:rPr>
                <w:b/>
                <w:szCs w:val="18"/>
                <w:lang w:val="en-US"/>
              </w:rPr>
              <w:t>Settembre  2011</w:t>
            </w:r>
            <w:r>
              <w:rPr>
                <w:szCs w:val="18"/>
                <w:lang w:val="en-US"/>
              </w:rPr>
              <w:t xml:space="preserve">: de Antonellis P, Medaglia C, Cusanelli E, Andolfo I, </w:t>
            </w:r>
            <w:r>
              <w:rPr>
                <w:b/>
                <w:szCs w:val="18"/>
                <w:u w:val="single"/>
                <w:lang w:val="en-US"/>
              </w:rPr>
              <w:t>Liguori L</w:t>
            </w:r>
            <w:r>
              <w:rPr>
                <w:szCs w:val="18"/>
                <w:lang w:val="en-US"/>
              </w:rPr>
              <w:t xml:space="preserve">….and Zollo M. (2011) </w:t>
            </w:r>
            <w:r>
              <w:rPr>
                <w:b/>
                <w:szCs w:val="18"/>
                <w:u w:val="single"/>
                <w:lang w:val="en-US"/>
              </w:rPr>
              <w:t>MiR-34a Targeting of Notch Ligand Delta-Like 1 Impairs CD15+/CD133+ Tumor-Propagating Cells and Supports Neural Differentiation in Medulloblastoma. PLoS ONE</w:t>
            </w:r>
            <w:r>
              <w:rPr>
                <w:szCs w:val="18"/>
                <w:lang w:val="en-US"/>
              </w:rPr>
              <w:t xml:space="preserve"> 6(9): e24584</w:t>
            </w:r>
          </w:p>
          <w:p>
            <w:pPr>
              <w:pStyle w:val="ECVSectionDetails"/>
              <w:jc w:val="both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</w:r>
          </w:p>
          <w:p>
            <w:pPr>
              <w:pStyle w:val="ECVSectionDetails"/>
              <w:jc w:val="both"/>
              <w:rPr>
                <w:lang w:val="en-US"/>
              </w:rPr>
            </w:pPr>
            <w:r>
              <w:rPr>
                <w:b/>
                <w:szCs w:val="18"/>
                <w:lang w:val="en-US"/>
              </w:rPr>
              <w:t>Maggio 2011</w:t>
            </w:r>
            <w:r>
              <w:rPr>
                <w:szCs w:val="18"/>
                <w:lang w:val="en-US"/>
              </w:rPr>
              <w:t xml:space="preserve">: Andolfo I, De Martino D, </w:t>
            </w:r>
            <w:r>
              <w:rPr>
                <w:b/>
                <w:szCs w:val="18"/>
                <w:u w:val="single"/>
                <w:lang w:val="en-US"/>
              </w:rPr>
              <w:t>Liguori L</w:t>
            </w:r>
            <w:r>
              <w:rPr>
                <w:szCs w:val="18"/>
                <w:lang w:val="en-US"/>
              </w:rPr>
              <w:t xml:space="preserve">, Petrosino G. Zollo M. </w:t>
            </w:r>
            <w:r>
              <w:rPr>
                <w:b/>
                <w:szCs w:val="18"/>
                <w:lang w:val="en-US"/>
              </w:rPr>
              <w:t>Correlation of NM23-H1    cytoplasmatic expression with metastatic stage in human prostate cancer tissue; Naunyn-Schmiedeberg's Arch Pharmacol</w:t>
            </w:r>
          </w:p>
          <w:p>
            <w:pPr>
              <w:pStyle w:val="ECVSectionDetails"/>
              <w:jc w:val="both"/>
              <w:rPr>
                <w:b/>
                <w:b/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</w:r>
          </w:p>
          <w:p>
            <w:pPr>
              <w:pStyle w:val="ECVSectionDetails"/>
              <w:jc w:val="both"/>
              <w:rPr>
                <w:lang w:val="en-US"/>
              </w:rPr>
            </w:pPr>
            <w:r>
              <w:rPr>
                <w:b/>
                <w:szCs w:val="18"/>
                <w:lang w:val="en-US"/>
              </w:rPr>
              <w:t>Settembre  2008</w:t>
            </w:r>
            <w:r>
              <w:rPr>
                <w:szCs w:val="18"/>
                <w:lang w:val="en-US"/>
              </w:rPr>
              <w:t xml:space="preserve"> : Ferrara D., Izzo G., </w:t>
            </w:r>
            <w:r>
              <w:rPr>
                <w:b/>
                <w:szCs w:val="18"/>
                <w:u w:val="single"/>
                <w:lang w:val="en-US"/>
              </w:rPr>
              <w:t>Liguori L</w:t>
            </w:r>
            <w:r>
              <w:rPr>
                <w:szCs w:val="18"/>
                <w:lang w:val="en-US"/>
              </w:rPr>
              <w:t>., d’Istria M., Aniello F., Minucci S</w:t>
            </w:r>
            <w:r>
              <w:rPr>
                <w:b/>
                <w:szCs w:val="18"/>
                <w:lang w:val="en-US"/>
              </w:rPr>
              <w:t xml:space="preserve">. </w:t>
            </w:r>
            <w:r>
              <w:rPr>
                <w:b/>
                <w:szCs w:val="18"/>
                <w:u w:val="single"/>
                <w:lang w:val="en-US"/>
              </w:rPr>
              <w:t>Evidence for the involvment of Prothymosin a in the spermatogenesis of the frog Rana esculenta; Journal of Experimental Zoology Part A: Ecological Genetics and Physiology</w:t>
            </w:r>
          </w:p>
          <w:p>
            <w:pPr>
              <w:pStyle w:val="ECVSectionDetails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</w:r>
          </w:p>
          <w:p>
            <w:pPr>
              <w:pStyle w:val="ECVSectionDetails"/>
              <w:rPr/>
            </w:pPr>
            <w:r>
              <w:rPr>
                <w:b/>
                <w:szCs w:val="18"/>
                <w:u w:val="single"/>
                <w:lang w:val="en-US"/>
              </w:rPr>
              <w:t xml:space="preserve"> </w:t>
            </w:r>
            <w:r>
              <w:rPr>
                <w:b/>
                <w:szCs w:val="18"/>
                <w:u w:val="single"/>
              </w:rPr>
              <w:t>23-26 Settembre 2013</w:t>
            </w:r>
            <w:r>
              <w:rPr>
                <w:szCs w:val="18"/>
              </w:rPr>
              <w:t xml:space="preserve"> </w:t>
            </w:r>
          </w:p>
          <w:p>
            <w:pPr>
              <w:pStyle w:val="ECVSection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SectionDetails"/>
              <w:rPr>
                <w:szCs w:val="18"/>
              </w:rPr>
            </w:pPr>
            <w:r>
              <w:rPr>
                <w:szCs w:val="18"/>
              </w:rPr>
              <w:t>Partecipazione 55° Congresso Nazionale Società di Cancerologia-Catanzaro</w:t>
            </w:r>
          </w:p>
          <w:p>
            <w:pPr>
              <w:pStyle w:val="ECVSection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SectionDetails"/>
              <w:numPr>
                <w:ilvl w:val="0"/>
                <w:numId w:val="5"/>
              </w:numPr>
              <w:rPr/>
            </w:pPr>
            <w:r>
              <w:rPr>
                <w:b/>
                <w:szCs w:val="18"/>
              </w:rPr>
              <w:t>Presentazione Poster</w:t>
            </w:r>
            <w:r>
              <w:rPr>
                <w:szCs w:val="18"/>
              </w:rPr>
              <w:t xml:space="preserve"> </w:t>
            </w:r>
            <w:r>
              <w:rPr>
                <w:b/>
                <w:szCs w:val="18"/>
              </w:rPr>
              <w:t>Numero identificativo N3</w:t>
            </w:r>
          </w:p>
          <w:p>
            <w:pPr>
              <w:pStyle w:val="ECVSectionDetails"/>
              <w:rPr>
                <w:lang w:val="en-US"/>
              </w:rPr>
            </w:pPr>
            <w:r>
              <w:rPr>
                <w:b/>
                <w:szCs w:val="18"/>
                <w:u w:val="single"/>
                <w:lang w:val="en-US"/>
              </w:rPr>
              <w:t>Liguori Lucia</w:t>
            </w:r>
            <w:r>
              <w:rPr>
                <w:szCs w:val="18"/>
                <w:lang w:val="en-US"/>
              </w:rPr>
              <w:t xml:space="preserve">* de Antonellis Pasqualino, Carotenuto Marianeve…and M.Zollo “ </w:t>
            </w:r>
            <w:r>
              <w:rPr>
                <w:b/>
                <w:szCs w:val="18"/>
                <w:u w:val="single"/>
                <w:lang w:val="en-US"/>
              </w:rPr>
              <w:t>Effects of Parthenolide, a NFkB inhibitor, on different molecular pathways  in tumors of the central nervous system (CNS)”</w:t>
            </w:r>
            <w:r>
              <w:rPr>
                <w:szCs w:val="18"/>
                <w:lang w:val="en-US"/>
              </w:rPr>
              <w:t>.</w:t>
            </w:r>
          </w:p>
          <w:p>
            <w:pPr>
              <w:pStyle w:val="ECVSectionDetails"/>
              <w:numPr>
                <w:ilvl w:val="0"/>
                <w:numId w:val="5"/>
              </w:numPr>
              <w:rPr/>
            </w:pPr>
            <w:r>
              <w:rPr>
                <w:b/>
                <w:szCs w:val="18"/>
              </w:rPr>
              <w:t>Presentazione Poster</w:t>
            </w:r>
            <w:r>
              <w:rPr>
                <w:szCs w:val="18"/>
              </w:rPr>
              <w:t xml:space="preserve"> </w:t>
            </w:r>
            <w:r>
              <w:rPr>
                <w:b/>
                <w:szCs w:val="18"/>
              </w:rPr>
              <w:t>Numero identificativo F3</w:t>
            </w:r>
          </w:p>
          <w:p>
            <w:pPr>
              <w:pStyle w:val="ECVSectionDetails"/>
              <w:rPr/>
            </w:pPr>
            <w:r>
              <w:rPr>
                <w:szCs w:val="18"/>
              </w:rPr>
              <w:t xml:space="preserve">Pasqualino De Antonellis,  Marianeve Carotenuto, </w:t>
            </w:r>
            <w:r>
              <w:rPr>
                <w:b/>
                <w:szCs w:val="18"/>
                <w:u w:val="single"/>
              </w:rPr>
              <w:t>Lucia Liguori</w:t>
            </w:r>
            <w:r>
              <w:rPr>
                <w:szCs w:val="18"/>
              </w:rPr>
              <w:t xml:space="preserve">…and M. Zollo </w:t>
            </w:r>
            <w:r>
              <w:rPr>
                <w:b/>
                <w:szCs w:val="18"/>
                <w:u w:val="single"/>
              </w:rPr>
              <w:t>“H-Prune, through negative regulation of NM23-H1, enhanceS TGf-</w:t>
            </w:r>
            <w:r>
              <w:rPr>
                <w:b/>
                <w:szCs w:val="18"/>
                <w:u w:val="single"/>
                <w:lang w:val="en-US"/>
              </w:rPr>
              <w:t>β</w:t>
            </w:r>
            <w:r>
              <w:rPr>
                <w:b/>
                <w:szCs w:val="18"/>
                <w:u w:val="single"/>
              </w:rPr>
              <w:t xml:space="preserve"> Signaling in Medulloblastoma”</w:t>
            </w:r>
          </w:p>
          <w:p>
            <w:pPr>
              <w:pStyle w:val="ECVSectionDetails"/>
              <w:rPr>
                <w:b/>
                <w:b/>
                <w:szCs w:val="18"/>
                <w:u w:val="single"/>
              </w:rPr>
            </w:pPr>
            <w:r>
              <w:rPr>
                <w:b/>
                <w:szCs w:val="18"/>
                <w:u w:val="single"/>
              </w:rPr>
            </w:r>
          </w:p>
          <w:p>
            <w:pPr>
              <w:pStyle w:val="ECVSectionDetails"/>
              <w:numPr>
                <w:ilvl w:val="0"/>
                <w:numId w:val="5"/>
              </w:numPr>
              <w:rPr/>
            </w:pPr>
            <w:r>
              <w:rPr>
                <w:b/>
                <w:szCs w:val="18"/>
              </w:rPr>
              <w:t>Presentazione Poster</w:t>
            </w:r>
            <w:r>
              <w:rPr>
                <w:szCs w:val="18"/>
              </w:rPr>
              <w:t xml:space="preserve"> </w:t>
            </w:r>
            <w:r>
              <w:rPr>
                <w:b/>
                <w:szCs w:val="18"/>
              </w:rPr>
              <w:t>Numero identificativo F2</w:t>
            </w:r>
          </w:p>
          <w:p>
            <w:pPr>
              <w:pStyle w:val="ECVSectionDetails"/>
              <w:rPr/>
            </w:pPr>
            <w:r>
              <w:rPr>
                <w:szCs w:val="18"/>
              </w:rPr>
              <w:t xml:space="preserve">Marianeve Carotenuto, Pasqualino de Antonellis, </w:t>
            </w:r>
            <w:r>
              <w:rPr>
                <w:b/>
                <w:szCs w:val="18"/>
                <w:u w:val="single"/>
              </w:rPr>
              <w:t>Lucia Liguori…</w:t>
            </w:r>
            <w:r>
              <w:rPr>
                <w:szCs w:val="18"/>
              </w:rPr>
              <w:t>and M.Zollo “</w:t>
            </w:r>
            <w:r>
              <w:rPr>
                <w:b/>
                <w:szCs w:val="18"/>
                <w:u w:val="single"/>
              </w:rPr>
              <w:t>Neuroblastoma tumorigenesis is regulated through the Nm23-H1/h-Prune C-terminal interaction”</w:t>
            </w:r>
          </w:p>
          <w:p>
            <w:pPr>
              <w:pStyle w:val="ECVSection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SectionDetails"/>
              <w:rPr>
                <w:b/>
                <w:b/>
                <w:szCs w:val="18"/>
                <w:u w:val="single"/>
              </w:rPr>
            </w:pPr>
            <w:r>
              <w:rPr>
                <w:b/>
                <w:szCs w:val="18"/>
                <w:u w:val="single"/>
              </w:rPr>
            </w:r>
          </w:p>
          <w:p>
            <w:pPr>
              <w:pStyle w:val="ECVSectionDetails"/>
              <w:rPr/>
            </w:pPr>
            <w:r>
              <w:rPr>
                <w:b/>
                <w:szCs w:val="18"/>
                <w:u w:val="single"/>
              </w:rPr>
              <w:t>Dr. Valeria Muzio</w:t>
            </w:r>
            <w:r>
              <w:rPr>
                <w:szCs w:val="18"/>
              </w:rPr>
              <w:t xml:space="preserve">: Preclinical Pharmacology R&amp;D Advanced Accelerator Applications (Italy) e-mail: </w:t>
            </w:r>
            <w:hyperlink r:id="rId10">
              <w:r>
                <w:rPr>
                  <w:rStyle w:val="CollegamentoInternet"/>
                  <w:szCs w:val="18"/>
                </w:rPr>
                <w:t>valeria.muzio@adacap.com</w:t>
              </w:r>
            </w:hyperlink>
            <w:r>
              <w:rPr>
                <w:szCs w:val="18"/>
              </w:rPr>
              <w:t>; tel.: +39-0125-561223</w:t>
            </w:r>
          </w:p>
          <w:p>
            <w:pPr>
              <w:pStyle w:val="ECVSectionDetails"/>
              <w:rPr/>
            </w:pPr>
            <w:r>
              <w:rPr>
                <w:b/>
                <w:szCs w:val="18"/>
                <w:u w:val="single"/>
              </w:rPr>
              <w:t>Dr. Vittoria Ardissone</w:t>
            </w:r>
            <w:r>
              <w:rPr>
                <w:szCs w:val="18"/>
              </w:rPr>
              <w:t>: Regional manager, RMS Quality Assurance at Harlan Laboratories, Inc. email: vittoria.ardissone@</w:t>
            </w:r>
            <w:hyperlink r:id="rId11">
              <w:r>
                <w:rPr>
                  <w:rStyle w:val="CollegamentoInternet"/>
                  <w:szCs w:val="18"/>
                </w:rPr>
                <w:t>gmail.com</w:t>
              </w:r>
            </w:hyperlink>
          </w:p>
          <w:p>
            <w:pPr>
              <w:pStyle w:val="ECVSectionDetails"/>
              <w:rPr/>
            </w:pPr>
            <w:r>
              <w:rPr>
                <w:b/>
                <w:szCs w:val="18"/>
                <w:u w:val="single"/>
                <w:lang w:val="en-US"/>
              </w:rPr>
              <w:t>Dr. Maurizio Mariani</w:t>
            </w:r>
            <w:r>
              <w:rPr>
                <w:szCs w:val="18"/>
                <w:u w:val="single"/>
                <w:lang w:val="en-US"/>
              </w:rPr>
              <w:t>:</w:t>
            </w:r>
            <w:r>
              <w:rPr>
                <w:szCs w:val="18"/>
                <w:lang w:val="en-US"/>
              </w:rPr>
              <w:t xml:space="preserve"> Head of R&amp;D Advanced Accelerator Applications (Italy) e-mail: </w:t>
            </w:r>
            <w:hyperlink r:id="rId12">
              <w:r>
                <w:rPr>
                  <w:rStyle w:val="CollegamentoInternet"/>
                  <w:szCs w:val="18"/>
                  <w:lang w:val="en-US"/>
                </w:rPr>
                <w:t>Maurizio.mariani@adacap.com</w:t>
              </w:r>
            </w:hyperlink>
            <w:r>
              <w:rPr>
                <w:szCs w:val="18"/>
                <w:lang w:val="en-US"/>
              </w:rPr>
              <w:t xml:space="preserve">; </w:t>
            </w:r>
          </w:p>
          <w:p>
            <w:pPr>
              <w:pStyle w:val="ECVSectionDetails"/>
              <w:rPr/>
            </w:pPr>
            <w:r>
              <w:rPr>
                <w:b/>
                <w:szCs w:val="18"/>
                <w:u w:val="single"/>
              </w:rPr>
              <w:t>Professore Massimo Zollo</w:t>
            </w:r>
            <w:r>
              <w:rPr>
                <w:szCs w:val="18"/>
              </w:rPr>
              <w:t xml:space="preserve">:  Professore in Genetica presso la Facoltà di Biotecnologie dell’ Università di Napoli “Federico II”. Email: </w:t>
            </w:r>
            <w:hyperlink r:id="rId13">
              <w:r>
                <w:rPr>
                  <w:rStyle w:val="CollegamentoInternet"/>
                  <w:szCs w:val="18"/>
                </w:rPr>
                <w:t>mzollo99@gmail.com</w:t>
              </w:r>
            </w:hyperlink>
            <w:r>
              <w:rPr>
                <w:szCs w:val="18"/>
              </w:rPr>
              <w:t xml:space="preserve">; </w:t>
            </w:r>
            <w:hyperlink r:id="rId14">
              <w:r>
                <w:rPr>
                  <w:rStyle w:val="CollegamentoInternet"/>
                  <w:szCs w:val="18"/>
                </w:rPr>
                <w:t>massimo.zollo@unina.it</w:t>
              </w:r>
            </w:hyperlink>
            <w:r>
              <w:rPr>
                <w:szCs w:val="18"/>
              </w:rPr>
              <w:t>; telefono: +390813737875.</w:t>
            </w:r>
          </w:p>
          <w:p>
            <w:pPr>
              <w:pStyle w:val="ECVSectionDetails"/>
              <w:rPr/>
            </w:pPr>
            <w:r>
              <w:rPr>
                <w:b/>
                <w:szCs w:val="18"/>
                <w:u w:val="single"/>
              </w:rPr>
              <w:t>Professore Sergio Minucci</w:t>
            </w:r>
            <w:r>
              <w:rPr>
                <w:b/>
                <w:szCs w:val="18"/>
              </w:rPr>
              <w:t xml:space="preserve">: </w:t>
            </w:r>
            <w:r>
              <w:rPr>
                <w:szCs w:val="18"/>
              </w:rPr>
              <w:t>Professore di Biologia del</w:t>
            </w:r>
            <w:r>
              <w:rPr>
                <w:b/>
                <w:szCs w:val="18"/>
              </w:rPr>
              <w:t xml:space="preserve"> </w:t>
            </w:r>
            <w:r>
              <w:rPr>
                <w:szCs w:val="18"/>
              </w:rPr>
              <w:t xml:space="preserve">Departmento di Medicina  Sperimentale dell’ Università degli studi della Campania Luigi Vanvitelli.  Email: </w:t>
            </w:r>
            <w:hyperlink r:id="rId15">
              <w:r>
                <w:rPr>
                  <w:rStyle w:val="CollegamentoInternet"/>
                  <w:szCs w:val="18"/>
                </w:rPr>
                <w:t>sergio.minucci@unina2.it</w:t>
              </w:r>
            </w:hyperlink>
          </w:p>
          <w:p>
            <w:pPr>
              <w:pStyle w:val="ECVSection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SectionDetails"/>
              <w:rPr>
                <w:szCs w:val="18"/>
              </w:rPr>
            </w:pPr>
            <w:r>
              <w:rPr>
                <w:szCs w:val="18"/>
              </w:rPr>
            </w:r>
          </w:p>
          <w:p>
            <w:pPr>
              <w:pStyle w:val="ECVSectionDetails"/>
              <w:ind w:left="113" w:hanging="0"/>
              <w:rPr>
                <w:szCs w:val="18"/>
              </w:rPr>
            </w:pPr>
            <w:r>
              <w:rPr>
                <w:szCs w:val="18"/>
              </w:rPr>
            </w:r>
          </w:p>
        </w:tc>
      </w:tr>
    </w:tbl>
    <w:p>
      <w:pPr>
        <w:pStyle w:val="ECVText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10375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  <w:t>ALLEGATI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90170"/>
                  <wp:effectExtent l="0" t="0" r="0" b="0"/>
                  <wp:docPr id="6" name="graphics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s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ECVText"/>
        <w:rPr/>
      </w:pPr>
      <w:r>
        <w:rPr/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1"/>
      </w:tblGrid>
      <w:tr>
        <w:trPr>
          <w:trHeight w:val="170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</w:r>
          </w:p>
        </w:tc>
        <w:tc>
          <w:tcPr>
            <w:tcW w:w="7541" w:type="dxa"/>
            <w:tcBorders/>
            <w:shd w:color="auto" w:fill="auto" w:val="clear"/>
          </w:tcPr>
          <w:p>
            <w:pPr>
              <w:pStyle w:val="ECVSectionBullet"/>
              <w:ind w:left="113" w:hanging="0"/>
              <w:rPr/>
            </w:pPr>
            <w:r>
              <w:rPr/>
            </w:r>
          </w:p>
        </w:tc>
      </w:tr>
    </w:tbl>
    <w:p>
      <w:pPr>
        <w:pStyle w:val="Standard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10376" w:type="dxa"/>
        <w:jc w:val="left"/>
        <w:tblInd w:w="-2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834"/>
        <w:gridCol w:w="7541"/>
      </w:tblGrid>
      <w:tr>
        <w:trPr>
          <w:trHeight w:val="170" w:hRule="atLeast"/>
        </w:trPr>
        <w:tc>
          <w:tcPr>
            <w:tcW w:w="2834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Dati personali</w:t>
            </w:r>
          </w:p>
        </w:tc>
        <w:tc>
          <w:tcPr>
            <w:tcW w:w="7541" w:type="dxa"/>
            <w:tcBorders/>
            <w:shd w:color="auto" w:fill="auto" w:val="clear"/>
          </w:tcPr>
          <w:p>
            <w:pPr>
              <w:pStyle w:val="ECVSectionDetails"/>
              <w:suppressLineNumbers/>
              <w:spacing w:before="28" w:after="0"/>
              <w:rPr/>
            </w:pPr>
            <w:r>
              <w:rPr/>
            </w:r>
          </w:p>
          <w:p>
            <w:pPr>
              <w:pStyle w:val="ECVSectionDetails"/>
              <w:rPr/>
            </w:pPr>
            <w:r>
              <w:rPr/>
            </w:r>
          </w:p>
          <w:p>
            <w:pPr>
              <w:pStyle w:val="ECVSectionDetails"/>
              <w:rPr/>
            </w:pPr>
            <w:r>
              <w:rPr/>
              <w:t>Autorizzo il trattamento dei miei dati personali ai sensi dell’ art. 13 del Decreto Legislativo 30/06/ 2003, n. 196  e s.m.i "Codice in materia di protezione dei dati personali”.</w:t>
            </w:r>
          </w:p>
          <w:p>
            <w:pPr>
              <w:pStyle w:val="ECVSectionDetails"/>
              <w:rPr/>
            </w:pPr>
            <w:r>
              <w:rPr/>
            </w:r>
          </w:p>
          <w:p>
            <w:pPr>
              <w:pStyle w:val="ECVSectionDetails"/>
              <w:rPr/>
            </w:pPr>
            <w:r>
              <w:rPr/>
            </w:r>
          </w:p>
        </w:tc>
      </w:tr>
    </w:tbl>
    <w:p>
      <w:pPr>
        <w:pStyle w:val="Standard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Standard"/>
        <w:jc w:val="right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w:type="default" r:id="rId17"/>
      <w:headerReference w:type="first" r:id="rId18"/>
      <w:footerReference w:type="default" r:id="rId19"/>
      <w:footerReference w:type="first" r:id="rId20"/>
      <w:type w:val="nextPage"/>
      <w:pgSz w:w="11906" w:h="16838"/>
      <w:pgMar w:left="850" w:right="680" w:header="680" w:top="1927" w:footer="624" w:bottom="1474" w:gutter="0"/>
      <w:pgNumType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ArialMT">
    <w:charset w:val="00"/>
    <w:family w:val="roman"/>
    <w:pitch w:val="variable"/>
  </w:font>
  <w:font w:name="Segoe U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left" w:pos="2835" w:leader="none"/>
        <w:tab w:val="left" w:pos="10205" w:leader="none"/>
        <w:tab w:val="right" w:pos="10375" w:leader="none"/>
      </w:tabs>
      <w:rPr/>
    </w:pPr>
    <w:r>
      <w:rPr>
        <w:rFonts w:eastAsia="ArialMT" w:cs="ArialMT" w:ascii="ArialMT" w:hAnsi="ArialMT"/>
        <w:color w:val="26B4EA"/>
        <w:sz w:val="14"/>
        <w:szCs w:val="14"/>
      </w:rPr>
      <w:tab/>
      <w:t xml:space="preserve"> </w:t>
    </w:r>
    <w:r>
      <w:rPr>
        <w:rFonts w:eastAsia="ArialMT" w:cs="ArialMT" w:ascii="ArialMT" w:hAnsi="ArialMT"/>
        <w:sz w:val="14"/>
        <w:szCs w:val="14"/>
      </w:rPr>
      <w:t xml:space="preserve">© Unione europea, 2002-2017 | europass.cedefop.europa.eu </w:t>
      <w:tab/>
      <w:t>Pagina</w:t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  <w:r>
      <w:rPr>
        <w:rFonts w:eastAsia="ArialMT" w:cs="ArialMT" w:ascii="ArialMT" w:hAnsi="ArialMT"/>
        <w:color w:val="26B4EA"/>
        <w:sz w:val="14"/>
        <w:szCs w:val="14"/>
      </w:rPr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  <w:r>
      <w:rPr>
        <w:rFonts w:eastAsia="ArialMT" w:cs="ArialMT" w:ascii="ArialMT" w:hAnsi="ArialMT"/>
        <w:sz w:val="14"/>
        <w:szCs w:val="14"/>
      </w:rPr>
      <w:t xml:space="preserve"> / </w:t>
    </w:r>
    <w:r>
      <w:rPr>
        <w:rFonts w:eastAsia="ArialMT" w:cs="ArialMT" w:ascii="ArialMT" w:hAnsi="ArialMT"/>
        <w:sz w:val="14"/>
        <w:szCs w:val="14"/>
      </w:rPr>
      <w:fldChar w:fldCharType="begin"/>
    </w:r>
    <w:r>
      <w:instrText> NUMPAGES 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left" w:pos="2835" w:leader="none"/>
        <w:tab w:val="left" w:pos="10205" w:leader="none"/>
        <w:tab w:val="right" w:pos="10375" w:leader="none"/>
      </w:tabs>
      <w:rPr/>
    </w:pPr>
    <w:r>
      <w:rPr>
        <w:rFonts w:eastAsia="ArialMT" w:cs="ArialMT" w:ascii="ArialMT" w:hAnsi="ArialMT"/>
        <w:color w:val="26B4EA"/>
        <w:sz w:val="14"/>
        <w:szCs w:val="14"/>
      </w:rPr>
      <w:tab/>
      <w:t xml:space="preserve"> </w:t>
    </w:r>
    <w:r>
      <w:rPr>
        <w:rFonts w:eastAsia="ArialMT" w:cs="ArialMT" w:ascii="ArialMT" w:hAnsi="ArialMT"/>
        <w:sz w:val="14"/>
        <w:szCs w:val="14"/>
      </w:rPr>
      <w:t xml:space="preserve">© Unione europea, 2002-2017 | europass.cedefop.europa.eu </w:t>
      <w:tab/>
      <w:t>Pagina</w:t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  <w:r>
      <w:rPr>
        <w:rFonts w:eastAsia="ArialMT" w:cs="ArialMT" w:ascii="ArialMT" w:hAnsi="ArialMT"/>
        <w:color w:val="26B4EA"/>
        <w:sz w:val="14"/>
        <w:szCs w:val="14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rFonts w:eastAsia="ArialMT" w:cs="ArialMT" w:ascii="ArialMT" w:hAnsi="ArialMT"/>
        <w:sz w:val="14"/>
        <w:szCs w:val="14"/>
      </w:rPr>
      <w:t xml:space="preserve"> / </w:t>
    </w:r>
    <w:r>
      <w:rPr>
        <w:rFonts w:eastAsia="ArialMT" w:cs="ArialMT" w:ascii="ArialMT" w:hAnsi="ArialMT"/>
        <w:sz w:val="14"/>
        <w:szCs w:val="14"/>
      </w:rPr>
      <w:fldChar w:fldCharType="begin"/>
    </w:r>
    <w:r>
      <w:instrText> NUMPAGES </w:instrText>
    </w:r>
    <w:r>
      <w:fldChar w:fldCharType="separate"/>
    </w:r>
    <w:r>
      <w:t>6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CVCurriculumVitaeNextPages"/>
      <w:tabs>
        <w:tab w:val="right" w:pos="10350" w:leader="none"/>
      </w:tabs>
      <w:spacing w:before="153" w:after="0"/>
      <w:jc w:val="right"/>
      <w:textAlignment w:val="auto"/>
      <w:rPr/>
    </w:pPr>
    <w:r>
      <w:drawing>
        <wp:anchor behindDoc="1" distT="0" distB="0" distL="0" distR="114300" simplePos="0" locked="0" layoutInCell="1" allowOverlap="1" relativeHeight="6">
          <wp:simplePos x="0" y="0"/>
          <wp:positionH relativeFrom="column">
            <wp:align>left</wp:align>
          </wp:positionH>
          <wp:positionV relativeFrom="paragraph">
            <wp:posOffset>635</wp:posOffset>
          </wp:positionV>
          <wp:extent cx="993775" cy="288290"/>
          <wp:effectExtent l="0" t="0" r="0" b="0"/>
          <wp:wrapSquare wrapText="bothSides"/>
          <wp:docPr id="7" name="graphics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s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288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r>
      <w:rPr/>
      <w:t xml:space="preserve"> </w:t>
    </w:r>
    <w:r>
      <w:rPr>
        <w:szCs w:val="20"/>
      </w:rPr>
      <w:t>Curriculum Vitae</w:t>
      <w:tab/>
      <w:t xml:space="preserve"> Sostituire con Nome (i) Cognome (i)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CV1stPage"/>
      <w:spacing w:before="329" w:after="0"/>
      <w:rPr/>
    </w:pPr>
    <w:r>
      <w:drawing>
        <wp:anchor behindDoc="1" distT="0" distB="0" distL="0" distR="116840" simplePos="0" locked="0" layoutInCell="1" allowOverlap="1" relativeHeight="7">
          <wp:simplePos x="0" y="0"/>
          <wp:positionH relativeFrom="column">
            <wp:align>left</wp:align>
          </wp:positionH>
          <wp:positionV relativeFrom="paragraph">
            <wp:posOffset>635</wp:posOffset>
          </wp:positionV>
          <wp:extent cx="1616710" cy="464185"/>
          <wp:effectExtent l="0" t="0" r="0" b="0"/>
          <wp:wrapSquare wrapText="bothSides"/>
          <wp:docPr id="8" name="graphics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phics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6710" cy="464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r>
      <w:rPr/>
      <w:t>Curriculum Vitae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▪"/>
      <w:lvlJc w:val="left"/>
      <w:pPr>
        <w:ind w:left="113" w:hanging="113"/>
      </w:pPr>
      <w:rPr>
        <w:rFonts w:ascii="Segoe UI" w:hAnsi="Segoe UI" w:cs="Segoe UI" w:hint="default"/>
        <w:sz w:val="20"/>
        <w:rFonts w:cs="OpenSymbol"/>
      </w:rPr>
    </w:lvl>
    <w:lvl w:ilvl="1">
      <w:start w:val="1"/>
      <w:numFmt w:val="bullet"/>
      <w:lvlText w:val="▫"/>
      <w:lvlJc w:val="left"/>
      <w:pPr>
        <w:ind w:left="227" w:hanging="114"/>
      </w:pPr>
      <w:rPr>
        <w:rFonts w:ascii="Segoe UI" w:hAnsi="Segoe UI" w:cs="Segoe UI" w:hint="default"/>
        <w:rFonts w:cs="OpenSymbol"/>
      </w:rPr>
    </w:lvl>
    <w:lvl w:ilvl="2">
      <w:start w:val="1"/>
      <w:numFmt w:val="bullet"/>
      <w:lvlText w:val=""/>
      <w:lvlJc w:val="left"/>
      <w:pPr>
        <w:ind w:left="113" w:hanging="-34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113" w:hanging="-567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113" w:hanging="-794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113" w:hanging="-102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113" w:hanging="-1247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113" w:hanging="-1474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113" w:hanging="-1701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▪"/>
      <w:lvlJc w:val="left"/>
      <w:pPr>
        <w:ind w:left="113" w:hanging="113"/>
      </w:pPr>
      <w:rPr>
        <w:rFonts w:ascii="Segoe UI" w:hAnsi="Segoe UI" w:cs="Segoe UI" w:hint="default"/>
        <w:sz w:val="20"/>
        <w:rFonts w:cs="OpenSymbol"/>
      </w:rPr>
    </w:lvl>
    <w:lvl w:ilvl="1">
      <w:start w:val="1"/>
      <w:numFmt w:val="bullet"/>
      <w:lvlText w:val="▫"/>
      <w:lvlJc w:val="left"/>
      <w:pPr>
        <w:ind w:left="227" w:hanging="114"/>
      </w:pPr>
      <w:rPr>
        <w:rFonts w:ascii="Segoe UI" w:hAnsi="Segoe UI" w:cs="Segoe UI" w:hint="default"/>
        <w:rFonts w:cs="OpenSymbol"/>
      </w:rPr>
    </w:lvl>
    <w:lvl w:ilvl="2">
      <w:start w:val="1"/>
      <w:numFmt w:val="bullet"/>
      <w:lvlText w:val=""/>
      <w:lvlJc w:val="left"/>
      <w:pPr>
        <w:ind w:left="113" w:hanging="-34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113" w:hanging="-567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113" w:hanging="-794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113" w:hanging="-102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113" w:hanging="-1247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113" w:hanging="-1474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113" w:hanging="-1701"/>
      </w:pPr>
      <w:rPr>
        <w:rFonts w:ascii="Symbol" w:hAnsi="Symbol" w:cs="Symbol" w:hint="default"/>
        <w:rFonts w:cs="Symbol"/>
      </w:rPr>
    </w:lvl>
  </w:abstractNum>
  <w:abstractNum w:abstractNumId="4">
    <w:lvl w:ilvl="0">
      <w:start w:val="1"/>
      <w:numFmt w:val="bullet"/>
      <w:lvlText w:val="▪"/>
      <w:lvlJc w:val="left"/>
      <w:pPr>
        <w:ind w:left="113" w:hanging="113"/>
      </w:pPr>
      <w:rPr>
        <w:rFonts w:ascii="Segoe UI" w:hAnsi="Segoe UI" w:cs="Segoe UI" w:hint="default"/>
        <w:rFonts w:cs="OpenSymbol"/>
      </w:rPr>
    </w:lvl>
    <w:lvl w:ilvl="1">
      <w:start w:val="1"/>
      <w:numFmt w:val="bullet"/>
      <w:lvlText w:val="▫"/>
      <w:lvlJc w:val="left"/>
      <w:pPr>
        <w:ind w:left="227" w:hanging="114"/>
      </w:pPr>
      <w:rPr>
        <w:rFonts w:ascii="Segoe UI" w:hAnsi="Segoe UI" w:cs="Segoe UI" w:hint="default"/>
        <w:rFonts w:cs="OpenSymbol"/>
      </w:rPr>
    </w:lvl>
    <w:lvl w:ilvl="2">
      <w:start w:val="1"/>
      <w:numFmt w:val="bullet"/>
      <w:lvlText w:val=""/>
      <w:lvlJc w:val="left"/>
      <w:pPr>
        <w:ind w:left="113" w:hanging="-34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113" w:hanging="-567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113" w:hanging="-794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113" w:hanging="-102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113" w:hanging="-1247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113" w:hanging="-1474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113" w:hanging="-1701"/>
      </w:pPr>
      <w:rPr>
        <w:rFonts w:ascii="Symbol" w:hAnsi="Symbol" w:cs="Symbol" w:hint="default"/>
        <w:rFonts w:cs="Symbol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6"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Cs w:val="24"/>
        <w:lang w:val="it-IT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00000A"/>
      <w:sz w:val="24"/>
      <w:szCs w:val="24"/>
      <w:lang w:val="it-IT" w:eastAsia="zh-CN" w:bidi="hi-IN"/>
    </w:rPr>
  </w:style>
  <w:style w:type="paragraph" w:styleId="Titolo1">
    <w:name w:val="Titolo 1"/>
    <w:basedOn w:val="Titolo"/>
    <w:pPr>
      <w:outlineLvl w:val="0"/>
    </w:pPr>
    <w:rPr>
      <w:b/>
      <w:bCs/>
    </w:rPr>
  </w:style>
  <w:style w:type="paragraph" w:styleId="Titolo2">
    <w:name w:val="Titolo 2"/>
    <w:basedOn w:val="Titolo"/>
    <w:pPr>
      <w:outlineLvl w:val="1"/>
    </w:pPr>
    <w:rPr>
      <w:b/>
      <w:bCs/>
      <w:i/>
      <w:i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CVHeadingContactDetails" w:customStyle="1">
    <w:name w:val="_ECV_HeadingContactDetails"/>
    <w:qFormat/>
    <w:rPr>
      <w:rFonts w:ascii="Arial" w:hAnsi="Arial" w:eastAsia="Arial" w:cs="Arial"/>
      <w:color w:val="1593CB"/>
      <w:sz w:val="18"/>
      <w:szCs w:val="18"/>
      <w:shd w:fill="FFFFFF" w:val="clear"/>
    </w:rPr>
  </w:style>
  <w:style w:type="character" w:styleId="ECVContactDetails" w:customStyle="1">
    <w:name w:val="_ECV_ContactDetails"/>
    <w:basedOn w:val="ECVHeadingContactDetails"/>
    <w:qFormat/>
    <w:rPr>
      <w:rFonts w:ascii="Arial" w:hAnsi="Arial" w:eastAsia="Arial" w:cs="Arial"/>
      <w:color w:val="3F3A38"/>
      <w:sz w:val="18"/>
      <w:szCs w:val="18"/>
      <w:shd w:fill="FFFFFF" w:val="clear"/>
    </w:rPr>
  </w:style>
  <w:style w:type="character" w:styleId="Caratteredinumerazione" w:customStyle="1">
    <w:name w:val="Carattere di numerazione"/>
    <w:qFormat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Linenumbering" w:customStyle="1">
    <w:name w:val="Line numbering"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ECVInternetLink" w:customStyle="1">
    <w:name w:val="_ECV_InternetLink"/>
    <w:basedOn w:val="Internetlink"/>
    <w:qFormat/>
    <w:rPr>
      <w:rFonts w:ascii="Arial" w:hAnsi="Arial" w:eastAsia="Arial" w:cs="Arial"/>
      <w:color w:val="3F3A38"/>
      <w:sz w:val="18"/>
      <w:shd w:fill="FFFFFF" w:val="clear"/>
      <w:lang w:val="en-GB"/>
    </w:rPr>
  </w:style>
  <w:style w:type="character" w:styleId="ECVHeadingBusinessSector" w:customStyle="1">
    <w:name w:val="_ECV_HeadingBusinessSector"/>
    <w:basedOn w:val="ECVHeadingContactDetails"/>
    <w:qFormat/>
    <w:rPr>
      <w:rFonts w:ascii="Arial" w:hAnsi="Arial" w:eastAsia="Arial" w:cs="Arial"/>
      <w:color w:val="1593CB"/>
      <w:spacing w:val="-6"/>
      <w:sz w:val="18"/>
      <w:szCs w:val="18"/>
      <w:shd w:fill="FFFFFF" w:val="clear"/>
    </w:rPr>
  </w:style>
  <w:style w:type="character" w:styleId="VisitedInternetLink" w:customStyle="1">
    <w:name w:val="Visited Internet Link"/>
    <w:qFormat/>
    <w:rPr>
      <w:color w:val="800000"/>
      <w:u w:val="single"/>
    </w:rPr>
  </w:style>
  <w:style w:type="character" w:styleId="CollegamentoInternet">
    <w:name w:val="Collegamento Internet"/>
    <w:basedOn w:val="DefaultParagraphFont"/>
    <w:rPr>
      <w:color w:val="0563C1"/>
      <w:u w:val="single"/>
    </w:rPr>
  </w:style>
  <w:style w:type="character" w:styleId="Pagenumber">
    <w:name w:val="page number"/>
    <w:basedOn w:val="DefaultParagraphFont"/>
    <w:qFormat/>
    <w:rPr/>
  </w:style>
  <w:style w:type="character" w:styleId="Fontstyle01" w:customStyle="1">
    <w:name w:val="fontstyle01"/>
    <w:basedOn w:val="DefaultParagraphFont"/>
    <w:qFormat/>
    <w:rsid w:val="00872a08"/>
    <w:rPr>
      <w:rFonts w:ascii="Times New Roman" w:hAnsi="Times New Roman" w:cs="Times New Roman"/>
      <w:b w:val="false"/>
      <w:bCs w:val="false"/>
      <w:i/>
      <w:iCs/>
      <w:color w:val="000000"/>
      <w:sz w:val="24"/>
      <w:szCs w:val="24"/>
    </w:rPr>
  </w:style>
  <w:style w:type="character" w:styleId="ListLabel1">
    <w:name w:val="ListLabel 1"/>
    <w:qFormat/>
    <w:rPr>
      <w:rFonts w:eastAsia="OpenSymbol" w:cs="OpenSymbol"/>
    </w:rPr>
  </w:style>
  <w:style w:type="character" w:styleId="ListLabel2">
    <w:name w:val="ListLabel 2"/>
    <w:qFormat/>
    <w:rPr>
      <w:rFonts w:eastAsia="OpenSymbol" w:cs="OpenSymbol"/>
      <w:sz w:val="20"/>
    </w:rPr>
  </w:style>
  <w:style w:type="character" w:styleId="ListLabel3">
    <w:name w:val="ListLabel 3"/>
    <w:qFormat/>
    <w:rPr>
      <w:rFonts w:eastAsia="OpenSymbol" w:cs="OpenSymbol"/>
    </w:rPr>
  </w:style>
  <w:style w:type="character" w:styleId="ListLabel4">
    <w:name w:val="ListLabel 4"/>
    <w:qFormat/>
    <w:rPr>
      <w:rFonts w:eastAsia="Arial" w:cs="Arial"/>
      <w:b w:val="false"/>
      <w:color w:val="3F3A38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Arial" w:cs="Arial"/>
      <w:sz w:val="22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eastAsia="OpenSymbol" w:cs="OpenSymbol"/>
      <w:sz w:val="20"/>
    </w:rPr>
  </w:style>
  <w:style w:type="character" w:styleId="ListLabel16">
    <w:name w:val="ListLabel 16"/>
    <w:qFormat/>
    <w:rPr>
      <w:rFonts w:eastAsia="OpenSymbol" w:cs="OpenSymbol"/>
    </w:rPr>
  </w:style>
  <w:style w:type="character" w:styleId="ListLabel17">
    <w:name w:val="ListLabel 17"/>
    <w:qFormat/>
    <w:rPr>
      <w:rFonts w:eastAsia="OpenSymbol" w:cs="OpenSymbol"/>
    </w:rPr>
  </w:style>
  <w:style w:type="character" w:styleId="ListLabel18">
    <w:name w:val="ListLabel 18"/>
    <w:qFormat/>
    <w:rPr>
      <w:rFonts w:eastAsia="OpenSymbol" w:cs="Open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eastAsia="OpenSymbol" w:cs="OpenSymbol"/>
    </w:rPr>
  </w:style>
  <w:style w:type="character" w:styleId="ListLabel23">
    <w:name w:val="ListLabel 23"/>
    <w:qFormat/>
    <w:rPr>
      <w:rFonts w:eastAsia="OpenSymbol" w:cs="OpenSymbol"/>
    </w:rPr>
  </w:style>
  <w:style w:type="character" w:styleId="ListLabel24">
    <w:name w:val="ListLabel 24"/>
    <w:qFormat/>
    <w:rPr>
      <w:rFonts w:cs="OpenSymbol"/>
      <w:sz w:val="20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cs="Symbol"/>
      <w:sz w:val="20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ListLabel42">
    <w:name w:val="ListLabel 42"/>
    <w:qFormat/>
    <w:rPr>
      <w:rFonts w:cs="OpenSymbol"/>
      <w:sz w:val="20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paragraph" w:styleId="Titolo" w:customStyle="1">
    <w:name w:val="Titolo"/>
    <w:next w:val="Corpodeltesto"/>
    <w:qFormat/>
    <w:pPr>
      <w:keepNext/>
      <w:widowControl w:val="false"/>
      <w:spacing w:before="240" w:after="120"/>
      <w:textAlignment w:val="baseline"/>
    </w:pPr>
    <w:rPr>
      <w:rFonts w:eastAsia="Microsoft YaHei" w:cs="Mangal" w:ascii="Times New Roman" w:hAnsi="Times New Roman"/>
      <w:color w:val="auto"/>
      <w:sz w:val="28"/>
      <w:szCs w:val="28"/>
      <w:lang w:val="it-IT" w:eastAsia="zh-CN" w:bidi="hi-IN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pPr>
      <w:widowControl w:val="false"/>
      <w:textAlignment w:val="baseline"/>
    </w:pPr>
    <w:rPr>
      <w:rFonts w:cs="Mangal" w:ascii="Times New Roman" w:hAnsi="Times New Roman" w:eastAsia="SimSun"/>
      <w:color w:val="auto"/>
      <w:sz w:val="24"/>
      <w:szCs w:val="24"/>
      <w:lang w:val="it-IT" w:eastAsia="zh-CN" w:bidi="hi-IN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qFormat/>
    <w:pPr>
      <w:widowControl w:val="false"/>
      <w:suppressLineNumbers/>
      <w:textAlignment w:val="baseline"/>
    </w:pPr>
    <w:rPr>
      <w:rFonts w:cs="Mangal" w:ascii="Times New Roman" w:hAnsi="Times New Roman" w:eastAsia="SimSun"/>
      <w:color w:val="auto"/>
      <w:sz w:val="24"/>
      <w:szCs w:val="24"/>
      <w:lang w:val="it-IT" w:eastAsia="zh-CN" w:bidi="hi-IN"/>
    </w:rPr>
  </w:style>
  <w:style w:type="paragraph" w:styleId="Standard" w:customStyle="1">
    <w:name w:val="Standard"/>
    <w:qFormat/>
    <w:pPr>
      <w:widowControl/>
      <w:suppressAutoHyphens w:val="true"/>
      <w:bidi w:val="0"/>
      <w:jc w:val="left"/>
      <w:textAlignment w:val="baseline"/>
    </w:pPr>
    <w:rPr>
      <w:rFonts w:ascii="Arial" w:hAnsi="Arial" w:eastAsia="Arial" w:cs="Arial"/>
      <w:color w:val="3F3A38"/>
      <w:spacing w:val="-6"/>
      <w:sz w:val="16"/>
      <w:szCs w:val="24"/>
      <w:lang w:val="it-IT" w:eastAsia="zh-CN" w:bidi="hi-IN"/>
    </w:rPr>
  </w:style>
  <w:style w:type="paragraph" w:styleId="Textbody" w:customStyle="1">
    <w:name w:val="Text body"/>
    <w:basedOn w:val="Standard"/>
    <w:qFormat/>
    <w:pPr/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styleId="Contenutotabella" w:customStyle="1">
    <w:name w:val="Contenuto tabella"/>
    <w:basedOn w:val="Standard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ECVLeftHeading" w:customStyle="1">
    <w:name w:val="_ECV_LeftHeading"/>
    <w:basedOn w:val="Contenutotabella"/>
    <w:qFormat/>
    <w:pPr>
      <w:ind w:right="283" w:hanging="0"/>
      <w:jc w:val="right"/>
    </w:pPr>
    <w:rPr>
      <w:caps/>
      <w:color w:val="0E4194"/>
      <w:sz w:val="18"/>
    </w:rPr>
  </w:style>
  <w:style w:type="paragraph" w:styleId="ECVMiddleColumn" w:customStyle="1">
    <w:name w:val="_ECV_MiddleColumn"/>
    <w:basedOn w:val="Contenutotabella"/>
    <w:qFormat/>
    <w:pPr/>
    <w:rPr>
      <w:color w:val="404040"/>
      <w:sz w:val="20"/>
    </w:rPr>
  </w:style>
  <w:style w:type="paragraph" w:styleId="ECVRightColumn" w:customStyle="1">
    <w:name w:val="_ECV_RightColumn"/>
    <w:basedOn w:val="Contenutotabella"/>
    <w:qFormat/>
    <w:pPr>
      <w:spacing w:before="62" w:after="0"/>
    </w:pPr>
    <w:rPr>
      <w:color w:val="404040"/>
    </w:rPr>
  </w:style>
  <w:style w:type="paragraph" w:styleId="ECVNameField" w:customStyle="1">
    <w:name w:val="_ECV_NameField"/>
    <w:basedOn w:val="ECVRightColumn"/>
    <w:qFormat/>
    <w:pPr>
      <w:spacing w:before="0" w:after="0"/>
    </w:pPr>
    <w:rPr>
      <w:color w:val="3F3A38"/>
      <w:sz w:val="26"/>
      <w:szCs w:val="18"/>
    </w:rPr>
  </w:style>
  <w:style w:type="paragraph" w:styleId="ECVRightHeading" w:customStyle="1">
    <w:name w:val="_ECV_RightHeading"/>
    <w:basedOn w:val="ECVNameField"/>
    <w:qFormat/>
    <w:pPr>
      <w:spacing w:before="62" w:after="0"/>
      <w:jc w:val="right"/>
    </w:pPr>
    <w:rPr>
      <w:color w:val="1593CB"/>
      <w:sz w:val="15"/>
    </w:rPr>
  </w:style>
  <w:style w:type="paragraph" w:styleId="ECV1stPage" w:customStyle="1">
    <w:name w:val="_ECV_1stPage"/>
    <w:basedOn w:val="ECVRightHeading"/>
    <w:qFormat/>
    <w:pPr>
      <w:tabs>
        <w:tab w:val="left" w:pos="2835" w:leader="none"/>
        <w:tab w:val="right" w:pos="10205" w:leader="none"/>
      </w:tabs>
      <w:spacing w:before="215" w:after="0"/>
      <w:jc w:val="left"/>
    </w:pPr>
    <w:rPr>
      <w:sz w:val="20"/>
    </w:rPr>
  </w:style>
  <w:style w:type="paragraph" w:styleId="ECVComments" w:customStyle="1">
    <w:name w:val="_ECV_Comments"/>
    <w:qFormat/>
    <w:pPr>
      <w:widowControl w:val="false"/>
      <w:bidi w:val="0"/>
      <w:jc w:val="center"/>
      <w:textAlignment w:val="baseline"/>
    </w:pPr>
    <w:rPr>
      <w:rFonts w:ascii="Times New Roman" w:hAnsi="Times New Roman" w:eastAsia="SimSun" w:cs="Mangal"/>
      <w:color w:val="FF0000"/>
      <w:sz w:val="24"/>
      <w:szCs w:val="24"/>
      <w:lang w:val="it-IT" w:eastAsia="zh-CN" w:bidi="hi-IN"/>
    </w:rPr>
  </w:style>
  <w:style w:type="paragraph" w:styleId="ECVNarrowSpacing" w:customStyle="1">
    <w:name w:val="_ECV_NarrowSpacing"/>
    <w:basedOn w:val="ECVRightColumn"/>
    <w:qFormat/>
    <w:pPr/>
    <w:rPr>
      <w:color w:val="402C24"/>
      <w:sz w:val="10"/>
      <w:szCs w:val="10"/>
    </w:rPr>
  </w:style>
  <w:style w:type="paragraph" w:styleId="ECVSectionSpacing" w:customStyle="1">
    <w:name w:val="_ECV_SectionSpacing"/>
    <w:basedOn w:val="ECVRightColumn"/>
    <w:qFormat/>
    <w:pPr/>
    <w:rPr/>
  </w:style>
  <w:style w:type="paragraph" w:styleId="Tabella" w:customStyle="1">
    <w:name w:val="Tabella"/>
    <w:basedOn w:val="Caption"/>
    <w:qFormat/>
    <w:pPr/>
    <w:rPr/>
  </w:style>
  <w:style w:type="paragraph" w:styleId="ECVSubSectionHeading" w:customStyle="1">
    <w:name w:val="_ECV_SubSectionHeading"/>
    <w:basedOn w:val="ECVRightColumn"/>
    <w:qFormat/>
    <w:pPr>
      <w:spacing w:before="0" w:after="0"/>
    </w:pPr>
    <w:rPr>
      <w:color w:val="0E4194"/>
      <w:sz w:val="22"/>
    </w:rPr>
  </w:style>
  <w:style w:type="paragraph" w:styleId="ECVOrganisationDetails" w:customStyle="1">
    <w:name w:val="_ECV_OrganisationDetails"/>
    <w:basedOn w:val="ECVRightColumn"/>
    <w:qFormat/>
    <w:pPr>
      <w:spacing w:before="57" w:after="85"/>
    </w:pPr>
    <w:rPr>
      <w:rFonts w:eastAsia="ArialMT" w:cs="ArialMT"/>
      <w:color w:val="3F3A38"/>
      <w:sz w:val="18"/>
      <w:szCs w:val="18"/>
    </w:rPr>
  </w:style>
  <w:style w:type="paragraph" w:styleId="ECVSectionDetails" w:customStyle="1">
    <w:name w:val="_ECV_SectionDetails"/>
    <w:basedOn w:val="Standard"/>
    <w:qFormat/>
    <w:pPr>
      <w:suppressLineNumbers/>
      <w:spacing w:before="28" w:after="0"/>
    </w:pPr>
    <w:rPr>
      <w:sz w:val="18"/>
    </w:rPr>
  </w:style>
  <w:style w:type="paragraph" w:styleId="ECVSectionBullet" w:customStyle="1">
    <w:name w:val="_ECV_SectionBullet"/>
    <w:basedOn w:val="ECVSectionDetails"/>
    <w:qFormat/>
    <w:pPr>
      <w:spacing w:before="0" w:after="0"/>
      <w:outlineLvl w:val="0"/>
    </w:pPr>
    <w:rPr/>
  </w:style>
  <w:style w:type="paragraph" w:styleId="ECVHeadingBullet" w:customStyle="1">
    <w:name w:val="_ECV_HeadingBullet"/>
    <w:basedOn w:val="ECVLeftHeading"/>
    <w:qFormat/>
    <w:pPr>
      <w:outlineLvl w:val="0"/>
    </w:pPr>
    <w:rPr/>
  </w:style>
  <w:style w:type="paragraph" w:styleId="ECVSubHeadingBullet" w:customStyle="1">
    <w:name w:val="_ECV_SubHeadingBullet"/>
    <w:qFormat/>
    <w:pPr>
      <w:widowControl w:val="false"/>
      <w:bidi w:val="0"/>
      <w:spacing w:before="0" w:after="0"/>
      <w:jc w:val="left"/>
      <w:textAlignment w:val="baseline"/>
      <w:outlineLvl w:val="0"/>
    </w:pPr>
    <w:rPr>
      <w:rFonts w:ascii="Times New Roman" w:hAnsi="Times New Roman" w:eastAsia="SimSun" w:cs="Mangal"/>
      <w:color w:val="00000A"/>
      <w:sz w:val="24"/>
      <w:szCs w:val="24"/>
      <w:lang w:val="it-IT" w:eastAsia="zh-CN" w:bidi="hi-IN"/>
    </w:rPr>
  </w:style>
  <w:style w:type="paragraph" w:styleId="CVMajor" w:customStyle="1">
    <w:name w:val="CV Major"/>
    <w:basedOn w:val="Standard"/>
    <w:qFormat/>
    <w:pPr>
      <w:ind w:left="113" w:right="113" w:hanging="0"/>
    </w:pPr>
    <w:rPr>
      <w:b/>
      <w:sz w:val="24"/>
    </w:rPr>
  </w:style>
  <w:style w:type="paragraph" w:styleId="ECVDate" w:customStyle="1">
    <w:name w:val="_ECV_Date"/>
    <w:basedOn w:val="ECVLeftHeading"/>
    <w:qFormat/>
    <w:pPr>
      <w:spacing w:before="28" w:after="0"/>
      <w:textAlignment w:val="top"/>
    </w:pPr>
    <w:rPr/>
  </w:style>
  <w:style w:type="paragraph" w:styleId="CVHeading3" w:customStyle="1">
    <w:name w:val="CV Heading 3"/>
    <w:basedOn w:val="Standard"/>
    <w:next w:val="Standard"/>
    <w:qFormat/>
    <w:pPr>
      <w:ind w:left="113" w:right="113" w:hanging="0"/>
      <w:jc w:val="right"/>
      <w:textAlignment w:val="center"/>
    </w:pPr>
    <w:rPr/>
  </w:style>
  <w:style w:type="paragraph" w:styleId="ECVHeadingLine" w:customStyle="1">
    <w:name w:val="_ECV_HeadingLine"/>
    <w:basedOn w:val="ECVSubSectionHeading"/>
    <w:qFormat/>
    <w:pPr/>
    <w:rPr>
      <w:color w:val="17ACE6"/>
    </w:rPr>
  </w:style>
  <w:style w:type="paragraph" w:styleId="Intestazione">
    <w:name w:val="Intestazione"/>
    <w:basedOn w:val="Standard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ECVAttachment" w:customStyle="1">
    <w:name w:val="_ECV_Attachment"/>
    <w:basedOn w:val="ECVSectionDetails"/>
    <w:qFormat/>
    <w:pPr>
      <w:jc w:val="right"/>
    </w:pPr>
    <w:rPr>
      <w:u w:val="single"/>
    </w:rPr>
  </w:style>
  <w:style w:type="paragraph" w:styleId="ECVHeaderFirstPage" w:customStyle="1">
    <w:name w:val="_ECV_HeaderFirstPage"/>
    <w:basedOn w:val="Intestazione"/>
    <w:qFormat/>
    <w:pPr>
      <w:tabs>
        <w:tab w:val="center" w:pos="2835" w:leader="none"/>
      </w:tabs>
    </w:pPr>
    <w:rPr>
      <w:color w:val="17ACE6"/>
      <w:sz w:val="20"/>
    </w:rPr>
  </w:style>
  <w:style w:type="paragraph" w:styleId="ECVHeaderOtherPage" w:customStyle="1">
    <w:name w:val="_ECV_HeaderOtherPage"/>
    <w:basedOn w:val="ECVHeaderFirstPage"/>
    <w:qFormat/>
    <w:pPr/>
    <w:rPr/>
  </w:style>
  <w:style w:type="paragraph" w:styleId="ECVLeftDetails" w:customStyle="1">
    <w:name w:val="_ECV_LeftDetails"/>
    <w:basedOn w:val="ECVLeftHeading"/>
    <w:qFormat/>
    <w:pPr>
      <w:spacing w:before="23" w:after="0"/>
    </w:pPr>
    <w:rPr/>
  </w:style>
  <w:style w:type="paragraph" w:styleId="Pidipagina">
    <w:name w:val="Piè di pagina"/>
    <w:basedOn w:val="Standard"/>
    <w:pPr>
      <w:suppressLineNumbers/>
      <w:tabs>
        <w:tab w:val="right" w:pos="2835" w:leader="none"/>
        <w:tab w:val="left" w:pos="10205" w:leader="none"/>
      </w:tabs>
    </w:pPr>
    <w:rPr>
      <w:color w:val="1593CB"/>
    </w:rPr>
  </w:style>
  <w:style w:type="paragraph" w:styleId="ECVLanguageHeading" w:customStyle="1">
    <w:name w:val="_ECV_LanguageHeading"/>
    <w:basedOn w:val="ECVRightColumn"/>
    <w:qFormat/>
    <w:pPr>
      <w:spacing w:before="0" w:after="0"/>
      <w:jc w:val="center"/>
    </w:pPr>
    <w:rPr>
      <w:caps/>
      <w:color w:val="0E4194"/>
      <w:sz w:val="14"/>
    </w:rPr>
  </w:style>
  <w:style w:type="paragraph" w:styleId="ECVLanguageSubHeading" w:customStyle="1">
    <w:name w:val="_ECV_LanguageSubHeading"/>
    <w:basedOn w:val="ECVLanguageHeading"/>
    <w:qFormat/>
    <w:pPr/>
    <w:rPr>
      <w:sz w:val="16"/>
    </w:rPr>
  </w:style>
  <w:style w:type="paragraph" w:styleId="ECVLanguageLevel" w:customStyle="1">
    <w:name w:val="_ECV_LanguageLevel"/>
    <w:basedOn w:val="ECVSectionDetails"/>
    <w:qFormat/>
    <w:pPr>
      <w:jc w:val="center"/>
      <w:textAlignment w:val="center"/>
    </w:pPr>
    <w:rPr>
      <w:caps/>
    </w:rPr>
  </w:style>
  <w:style w:type="paragraph" w:styleId="ECVLanguageCertificate" w:customStyle="1">
    <w:name w:val="_ECV_LanguageCertificate"/>
    <w:basedOn w:val="ECVRightColumn"/>
    <w:qFormat/>
    <w:pPr>
      <w:spacing w:before="0" w:after="0"/>
      <w:ind w:right="283" w:hanging="0"/>
      <w:jc w:val="center"/>
    </w:pPr>
    <w:rPr>
      <w:color w:val="3F3A38"/>
    </w:rPr>
  </w:style>
  <w:style w:type="paragraph" w:styleId="ECVLanguageExplanation" w:customStyle="1">
    <w:name w:val="_ECV_LanguageExplanation"/>
    <w:basedOn w:val="Standard"/>
    <w:qFormat/>
    <w:pPr/>
    <w:rPr>
      <w:color w:val="0E4194"/>
      <w:sz w:val="15"/>
    </w:rPr>
  </w:style>
  <w:style w:type="paragraph" w:styleId="ECVLinks" w:customStyle="1">
    <w:name w:val="_ECV_Links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00000A"/>
      <w:sz w:val="24"/>
      <w:szCs w:val="24"/>
      <w:u w:val="single" w:color="404040"/>
      <w:lang w:val="it-IT" w:eastAsia="zh-CN" w:bidi="hi-IN"/>
    </w:rPr>
  </w:style>
  <w:style w:type="paragraph" w:styleId="ECVText" w:customStyle="1">
    <w:name w:val="_ECV_Text"/>
    <w:basedOn w:val="Textbody"/>
    <w:qFormat/>
    <w:pPr/>
    <w:rPr/>
  </w:style>
  <w:style w:type="paragraph" w:styleId="ECVBusinessSector" w:customStyle="1">
    <w:name w:val="_ECV_BusinessSector"/>
    <w:basedOn w:val="ECVOrganisationDetails"/>
    <w:qFormat/>
    <w:pPr>
      <w:spacing w:before="113" w:after="0"/>
    </w:pPr>
    <w:rPr/>
  </w:style>
  <w:style w:type="paragraph" w:styleId="ECVLanguageName" w:customStyle="1">
    <w:name w:val="_ECV_LanguageName"/>
    <w:basedOn w:val="ECVLanguageCertificate"/>
    <w:qFormat/>
    <w:pPr>
      <w:jc w:val="right"/>
    </w:pPr>
    <w:rPr>
      <w:sz w:val="18"/>
    </w:rPr>
  </w:style>
  <w:style w:type="paragraph" w:styleId="ECVPersonalInfoHeading" w:customStyle="1">
    <w:name w:val="_ECV_PersonalInfoHeading"/>
    <w:basedOn w:val="ECVLeftHeading"/>
    <w:qFormat/>
    <w:pPr>
      <w:spacing w:before="57" w:after="0"/>
    </w:pPr>
    <w:rPr/>
  </w:style>
  <w:style w:type="paragraph" w:styleId="ECVOccupationalFieldHeading" w:customStyle="1">
    <w:name w:val="_ECV_OccupationalFieldHeading"/>
    <w:basedOn w:val="ECVLeftHeading"/>
    <w:qFormat/>
    <w:pPr>
      <w:spacing w:before="57" w:after="0"/>
    </w:pPr>
    <w:rPr/>
  </w:style>
  <w:style w:type="paragraph" w:styleId="ECVGenderRow" w:customStyle="1">
    <w:name w:val="_ECV_GenderRow"/>
    <w:basedOn w:val="Standard"/>
    <w:qFormat/>
    <w:pPr>
      <w:spacing w:before="85" w:after="0"/>
    </w:pPr>
    <w:rPr>
      <w:color w:val="1593CB"/>
    </w:rPr>
  </w:style>
  <w:style w:type="paragraph" w:styleId="ECVCurriculumVitaeNextPages" w:customStyle="1">
    <w:name w:val="_ECV_CurriculumVitae_NextPages"/>
    <w:basedOn w:val="ECV1stPage"/>
    <w:qFormat/>
    <w:pPr>
      <w:tabs>
        <w:tab w:val="right" w:pos="10350" w:leader="none"/>
      </w:tabs>
      <w:spacing w:before="153" w:after="0"/>
      <w:jc w:val="right"/>
      <w:textAlignment w:val="auto"/>
    </w:pPr>
    <w:rPr/>
  </w:style>
  <w:style w:type="paragraph" w:styleId="ECVBusinessSctionRow" w:customStyle="1">
    <w:name w:val="_ECV_BusinessSctionRow"/>
    <w:basedOn w:val="Standard"/>
    <w:qFormat/>
    <w:pPr/>
    <w:rPr/>
  </w:style>
  <w:style w:type="paragraph" w:styleId="ECVBusinessSectorRow" w:customStyle="1">
    <w:name w:val="_ECV_BusinessSectorRow"/>
    <w:basedOn w:val="Standard"/>
    <w:qFormat/>
    <w:pPr/>
    <w:rPr/>
  </w:style>
  <w:style w:type="paragraph" w:styleId="ECVBlueBox" w:customStyle="1">
    <w:name w:val="_ECV_BlueBox"/>
    <w:basedOn w:val="ECVNarrowSpacing"/>
    <w:qFormat/>
    <w:pPr>
      <w:spacing w:before="0" w:after="0"/>
      <w:jc w:val="right"/>
      <w:textAlignment w:val="bottom"/>
    </w:pPr>
    <w:rPr>
      <w:spacing w:val="0"/>
    </w:rPr>
  </w:style>
  <w:style w:type="paragraph" w:styleId="ESP1stPage" w:customStyle="1">
    <w:name w:val="_ESP_1stPage"/>
    <w:basedOn w:val="ECVCurriculumVitaeNextPages"/>
    <w:qFormat/>
    <w:pPr/>
    <w:rPr/>
  </w:style>
  <w:style w:type="paragraph" w:styleId="ESPText" w:customStyle="1">
    <w:name w:val="_ESP_Text"/>
    <w:basedOn w:val="ECVText"/>
    <w:qFormat/>
    <w:pPr/>
    <w:rPr/>
  </w:style>
  <w:style w:type="paragraph" w:styleId="ESPHeading" w:customStyle="1">
    <w:name w:val="_ESP_Heading"/>
    <w:basedOn w:val="ESPText"/>
    <w:qFormat/>
    <w:pPr/>
    <w:rPr>
      <w:b/>
      <w:bCs/>
      <w:sz w:val="32"/>
      <w:szCs w:val="32"/>
    </w:rPr>
  </w:style>
  <w:style w:type="paragraph" w:styleId="Pidipaginaasinistra" w:customStyle="1">
    <w:name w:val="Piè di pagina a sinistra"/>
    <w:basedOn w:val="Standard"/>
    <w:qFormat/>
    <w:pPr>
      <w:suppressLineNumbers/>
      <w:tabs>
        <w:tab w:val="center" w:pos="5188" w:leader="none"/>
        <w:tab w:val="right" w:pos="10376" w:leader="none"/>
      </w:tabs>
    </w:pPr>
    <w:rPr/>
  </w:style>
  <w:style w:type="paragraph" w:styleId="Pidipaginaadestra" w:customStyle="1">
    <w:name w:val="Piè di pagina a destra"/>
    <w:basedOn w:val="Standard"/>
    <w:qFormat/>
    <w:pPr>
      <w:suppressLineNumbers/>
      <w:tabs>
        <w:tab w:val="center" w:pos="5188" w:leader="none"/>
        <w:tab w:val="right" w:pos="10376" w:leader="none"/>
      </w:tabs>
    </w:pPr>
    <w:rPr/>
  </w:style>
  <w:style w:type="paragraph" w:styleId="ECVRelatedDocumentRow" w:customStyle="1">
    <w:name w:val="_ECV_RelatedDocumentRow"/>
    <w:basedOn w:val="ECVBusinessSectorRow"/>
    <w:qFormat/>
    <w:pPr/>
    <w:rPr/>
  </w:style>
  <w:style w:type="paragraph" w:styleId="EuropassSectionDetails" w:customStyle="1">
    <w:name w:val="Europass_SectionDetails"/>
    <w:basedOn w:val="Standard"/>
    <w:qFormat/>
    <w:pPr>
      <w:suppressLineNumbers/>
      <w:spacing w:before="28" w:after="56"/>
    </w:pPr>
    <w:rPr>
      <w:sz w:val="18"/>
    </w:rPr>
  </w:style>
  <w:style w:type="paragraph" w:styleId="OiaeaeiYiio2" w:customStyle="1">
    <w:name w:val="O?ia eaeiYiio 2"/>
    <w:basedOn w:val="Normal"/>
    <w:qFormat/>
    <w:pPr>
      <w:suppressAutoHyphens w:val="false"/>
      <w:jc w:val="right"/>
      <w:textAlignment w:val="auto"/>
    </w:pPr>
    <w:rPr>
      <w:rFonts w:eastAsia="Times New Roman" w:cs="Times New Roman"/>
      <w:i/>
      <w:sz w:val="16"/>
      <w:szCs w:val="20"/>
      <w:lang w:val="en-US" w:eastAsia="en-US" w:bidi="ar-SA"/>
    </w:rPr>
  </w:style>
  <w:style w:type="paragraph" w:styleId="CVNormal" w:customStyle="1">
    <w:name w:val="CV Normal"/>
    <w:basedOn w:val="Normal"/>
    <w:qFormat/>
    <w:pPr>
      <w:widowControl/>
      <w:ind w:left="113" w:right="113" w:hanging="0"/>
      <w:textAlignment w:val="auto"/>
    </w:pPr>
    <w:rPr>
      <w:rFonts w:ascii="Arial Narrow" w:hAnsi="Arial Narrow" w:eastAsia="Times New Roman" w:cs="Times New Roman"/>
      <w:sz w:val="20"/>
      <w:szCs w:val="20"/>
      <w:lang w:val="en-US" w:eastAsia="ar-SA" w:bidi="ar-SA"/>
    </w:rPr>
  </w:style>
  <w:style w:type="paragraph" w:styleId="CVNormalFirstLine" w:customStyle="1">
    <w:name w:val="CV Normal - First Line"/>
    <w:basedOn w:val="CVNormal"/>
    <w:qFormat/>
    <w:pPr>
      <w:spacing w:before="74" w:after="0"/>
    </w:pPr>
    <w:rPr/>
  </w:style>
  <w:style w:type="numbering" w:styleId="NoList" w:default="1">
    <w:name w:val="No List"/>
    <w:uiPriority w:val="99"/>
    <w:semiHidden/>
    <w:unhideWhenUsed/>
  </w:style>
  <w:style w:type="numbering" w:styleId="Numerazione1" w:customStyle="1">
    <w:name w:val="Numerazione 1"/>
  </w:style>
  <w:style w:type="numbering" w:styleId="Numerazione2" w:customStyle="1">
    <w:name w:val="Numerazione 2"/>
  </w:style>
  <w:style w:type="numbering" w:styleId="Numerazione4" w:customStyle="1">
    <w:name w:val="Numerazione 4"/>
  </w:style>
  <w:style w:type="numbering" w:styleId="Elenco1" w:customStyle="1">
    <w:name w:val="Elenco 1"/>
  </w:style>
  <w:style w:type="numbering" w:styleId="Elenco21" w:customStyle="1">
    <w:name w:val="Elenco 21"/>
  </w:style>
  <w:style w:type="numbering" w:styleId="Elenco31" w:customStyle="1">
    <w:name w:val="Elenco 31"/>
  </w:style>
  <w:style w:type="numbering" w:styleId="ECVCVBullets" w:customStyle="1">
    <w:name w:val="_ECV_CV_Bullets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mailto:g.chiappetta@istitutotumori.na.it" TargetMode="External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hyperlink" Target="http://europass.cedefop.europa.eu/it/resources/european-language-levels-cefr" TargetMode="External"/><Relationship Id="rId8" Type="http://schemas.openxmlformats.org/officeDocument/2006/relationships/hyperlink" Target="http://europass.cedefop.europa.eu/it/resources/digital-competences" TargetMode="External"/><Relationship Id="rId9" Type="http://schemas.openxmlformats.org/officeDocument/2006/relationships/image" Target="media/image5.png"/><Relationship Id="rId10" Type="http://schemas.openxmlformats.org/officeDocument/2006/relationships/hyperlink" Target="mailto:valeria.muzio@adacap.com" TargetMode="External"/><Relationship Id="rId11" Type="http://schemas.openxmlformats.org/officeDocument/2006/relationships/hyperlink" Target="https://www.linkedin.com/redir/redirect?url=gmail.com&amp;urlhash=p5QW" TargetMode="External"/><Relationship Id="rId12" Type="http://schemas.openxmlformats.org/officeDocument/2006/relationships/hyperlink" Target="mailto:Maurizio.mariani@adacap.com" TargetMode="External"/><Relationship Id="rId13" Type="http://schemas.openxmlformats.org/officeDocument/2006/relationships/hyperlink" Target="mailto:mzollo99@gmail.com" TargetMode="External"/><Relationship Id="rId14" Type="http://schemas.openxmlformats.org/officeDocument/2006/relationships/hyperlink" Target="mailto:massimo.zollo@unina.it" TargetMode="External"/><Relationship Id="rId15" Type="http://schemas.openxmlformats.org/officeDocument/2006/relationships/hyperlink" Target="mailto:sergio.minucci@unina2.it" TargetMode="External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20" Type="http://schemas.openxmlformats.org/officeDocument/2006/relationships/footer" Target="footer2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7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8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LibreOffice/5.1.1.3$Windows_x86 LibreOffice_project/89f508ef3ecebd2cfb8e1def0f0ba9a803b88a6d</Application>
  <Pages>6</Pages>
  <Words>1745</Words>
  <Characters>11686</Characters>
  <CharactersWithSpaces>13617</CharactersWithSpaces>
  <Paragraphs>162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2017-10-26T18:40:00Z</dcterms:created>
  <dc:creator>Admin</dc:creator>
  <dc:description>Europass CV</dc:description>
  <cp:keywords>Europass CV Cedefop</cp:keywords>
  <dc:language>it-IT</dc:language>
  <cp:lastModifiedBy/>
  <cp:lastPrinted>2017-10-02T17:18:00Z</cp:lastPrinted>
  <dcterms:modified xsi:type="dcterms:W3CDTF">2017-11-02T12:41:05Z</dcterms:modified>
  <cp:revision>7</cp:revision>
  <dc:subject>Europass CV</dc:subject>
  <dc:title>Europass CV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Editor">
    <vt:lpwstr>Cedefop Europass Team</vt:lpwstr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Owner">
    <vt:lpwstr>Cedefop Europass Team</vt:lpwstr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